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BCE01A">
      <w:pPr>
        <w:numPr>
          <w:ilvl w:val="0"/>
          <w:numId w:val="0"/>
        </w:numPr>
        <w:spacing w:before="120" w:after="120"/>
        <w:ind w:leftChars="0"/>
        <w:jc w:val="both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bookmarkStart w:id="0" w:name="OLE_LINK13"/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891405" cy="3308350"/>
            <wp:effectExtent l="0" t="0" r="10795" b="6350"/>
            <wp:docPr id="6" name="图片 6" descr="14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天"/>
                    <pic:cNvPicPr>
                      <a:picLocks noChangeAspect="1"/>
                    </pic:cNvPicPr>
                  </pic:nvPicPr>
                  <pic:blipFill>
                    <a:blip r:embed="rId4"/>
                    <a:srcRect l="3652" t="5203" r="3496" b="7905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4E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cs="Times New Roman"/>
          <w:b/>
          <w:bCs/>
          <w:sz w:val="28"/>
          <w:szCs w:val="28"/>
        </w:rPr>
      </w:pPr>
      <w:bookmarkStart w:id="1" w:name="_Hlk173675877"/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bookmarkEnd w:id="1"/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Figure 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S1.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Relative risks (95% CI) of COPD hospitalization associated with ever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y 10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μ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g/m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3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increase in PM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2.5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, PM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2.5-10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, and PM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10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(lag 0</w:t>
      </w:r>
      <w:bookmarkStart w:id="2" w:name="OLE_LINK2"/>
      <w:bookmarkStart w:id="3" w:name="OLE_LINK1"/>
      <w:bookmarkStart w:id="4" w:name="OLE_LINK10"/>
      <w:bookmarkStart w:id="5" w:name="OLE_LINK5"/>
      <w:bookmarkStart w:id="6" w:name="OLE_LINK12"/>
      <w:r>
        <w:rPr>
          <w:rFonts w:hint="default" w:cs="Calibri" w:asciiTheme="minorAscii" w:hAnsiTheme="minorAscii"/>
          <w:sz w:val="20"/>
          <w:szCs w:val="20"/>
        </w:rPr>
        <w:t>–</w:t>
      </w:r>
      <w:bookmarkEnd w:id="2"/>
      <w:bookmarkEnd w:id="3"/>
      <w:bookmarkEnd w:id="4"/>
      <w:bookmarkEnd w:id="5"/>
      <w:bookmarkEnd w:id="6"/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14 days).</w:t>
      </w:r>
    </w:p>
    <w:bookmarkEnd w:id="0"/>
    <w:p w14:paraId="469DD3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/>
        <w:jc w:val="both"/>
        <w:textAlignment w:val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4992370" cy="2720975"/>
            <wp:effectExtent l="0" t="0" r="11430" b="9525"/>
            <wp:docPr id="3" name="图片 3" descr="时间序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时间序列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A79A8">
      <w:pPr>
        <w:numPr>
          <w:ilvl w:val="0"/>
          <w:numId w:val="0"/>
        </w:numPr>
        <w:spacing w:before="120" w:after="120"/>
        <w:jc w:val="left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Figure 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S2.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 Time series of dust-sand storms (SDS) in Gansu Province, China from 2018 to 2022.</w:t>
      </w:r>
    </w:p>
    <w:p w14:paraId="14E6A316">
      <w:pPr>
        <w:jc w:val="both"/>
        <w:rPr>
          <w:rFonts w:hint="eastAsia" w:ascii="Times New Roman" w:hAnsi="Times New Roman" w:eastAsia="宋体" w:cs="宋体"/>
          <w:b w:val="0"/>
          <w:bCs/>
          <w:sz w:val="22"/>
          <w:szCs w:val="22"/>
          <w:vertAlign w:val="baseline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/>
          <w:sz w:val="22"/>
          <w:szCs w:val="22"/>
          <w:vertAlign w:val="baseline"/>
          <w:lang w:val="en-US" w:eastAsia="zh-CN"/>
        </w:rPr>
        <w:drawing>
          <wp:inline distT="0" distB="0" distL="114300" distR="114300">
            <wp:extent cx="5267325" cy="3299460"/>
            <wp:effectExtent l="0" t="0" r="3175" b="2540"/>
            <wp:docPr id="1" name="图片 1" descr="沙尘&amp;颗粒物浓度甘肃省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沙尘&amp;颗粒物浓度甘肃省地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915D9">
      <w:pP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Figure </w:t>
      </w:r>
      <w:r>
        <w:rPr>
          <w:rFonts w:hint="eastAsia" w:ascii="Times New Roman" w:hAnsi="Times New Roman" w:eastAsia="宋体" w:cs="宋体"/>
          <w:b/>
          <w:bCs w:val="0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cs="宋体"/>
          <w:b/>
          <w:bCs w:val="0"/>
          <w:sz w:val="24"/>
          <w:szCs w:val="24"/>
          <w:lang w:val="en-US" w:eastAsia="zh-CN"/>
        </w:rPr>
        <w:t>3.</w:t>
      </w:r>
      <w:r>
        <w:rPr>
          <w:rFonts w:hint="eastAsia" w:ascii="Times New Roman" w:hAnsi="Times New Roman" w:eastAsia="宋体" w:cs="宋体"/>
          <w:b w:val="0"/>
          <w:bCs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eastAsia="等线" w:cs="Times New Roman"/>
          <w:sz w:val="24"/>
          <w:szCs w:val="24"/>
          <w:lang w:val="en-US" w:eastAsia="zh-CN" w:bidi="ar"/>
        </w:rPr>
        <w:t xml:space="preserve">Distribution of the number of SDS events </w:t>
      </w:r>
      <w:r>
        <w:rPr>
          <w:rFonts w:hint="eastAsia" w:ascii="Times New Roman" w:hAnsi="Times New Roman" w:eastAsia="宋体" w:cs="宋体"/>
          <w:b w:val="0"/>
          <w:bCs/>
          <w:sz w:val="24"/>
          <w:szCs w:val="24"/>
          <w:vertAlign w:val="baseline"/>
          <w:lang w:val="en-US" w:eastAsia="zh-CN"/>
        </w:rPr>
        <w:t>(A)</w:t>
      </w:r>
      <w:r>
        <w:rPr>
          <w:rFonts w:hint="eastAsia" w:ascii="Times New Roman" w:hAnsi="Times New Roman" w:eastAsia="等线" w:cs="Times New Roman"/>
          <w:sz w:val="24"/>
          <w:szCs w:val="24"/>
          <w:lang w:val="en-US" w:eastAsia="zh-CN" w:bidi="ar"/>
        </w:rPr>
        <w:t xml:space="preserve"> and daily average air pollution concentrations. The concentrations of </w:t>
      </w:r>
      <w:r>
        <w:rPr>
          <w:rFonts w:hint="eastAsia" w:ascii="Times New Roman" w:hAnsi="Times New Roman" w:eastAsia="宋体" w:cs="宋体"/>
          <w:b w:val="0"/>
          <w:bCs/>
          <w:sz w:val="24"/>
          <w:szCs w:val="24"/>
          <w:lang w:val="en-US" w:eastAsia="zh-CN"/>
        </w:rPr>
        <w:t>PM</w:t>
      </w:r>
      <w:r>
        <w:rPr>
          <w:rFonts w:hint="eastAsia" w:ascii="Times New Roman" w:hAnsi="Times New Roman" w:eastAsia="宋体" w:cs="宋体"/>
          <w:b w:val="0"/>
          <w:bCs/>
          <w:sz w:val="24"/>
          <w:szCs w:val="24"/>
          <w:vertAlign w:val="subscript"/>
          <w:lang w:val="en-US" w:eastAsia="zh-CN"/>
        </w:rPr>
        <w:t>2.5</w:t>
      </w:r>
      <w:r>
        <w:rPr>
          <w:rFonts w:hint="eastAsia" w:ascii="Times New Roman" w:hAnsi="Times New Roman" w:eastAsia="宋体" w:cs="宋体"/>
          <w:b w:val="0"/>
          <w:bCs/>
          <w:sz w:val="24"/>
          <w:szCs w:val="24"/>
          <w:vertAlign w:val="baseline"/>
          <w:lang w:val="en-US" w:eastAsia="zh-CN"/>
        </w:rPr>
        <w:t xml:space="preserve"> (</w:t>
      </w:r>
      <w:r>
        <w:rPr>
          <w:rFonts w:hint="eastAsia" w:ascii="Times New Roman" w:hAnsi="Times New Roman" w:cs="宋体"/>
          <w:b w:val="0"/>
          <w:bCs/>
          <w:sz w:val="24"/>
          <w:szCs w:val="24"/>
          <w:vertAlign w:val="baseline"/>
          <w:lang w:val="en-US" w:eastAsia="zh-CN"/>
        </w:rPr>
        <w:t>B</w:t>
      </w:r>
      <w:r>
        <w:rPr>
          <w:rFonts w:hint="eastAsia" w:ascii="Times New Roman" w:hAnsi="Times New Roman" w:eastAsia="宋体" w:cs="宋体"/>
          <w:b w:val="0"/>
          <w:bCs/>
          <w:sz w:val="24"/>
          <w:szCs w:val="24"/>
          <w:vertAlign w:val="baseline"/>
          <w:lang w:val="en-US" w:eastAsia="zh-CN"/>
        </w:rPr>
        <w:t>)</w:t>
      </w:r>
      <w:r>
        <w:rPr>
          <w:rFonts w:hint="eastAsia" w:ascii="Times New Roman" w:hAnsi="Times New Roman" w:eastAsia="宋体" w:cs="宋体"/>
          <w:b w:val="0"/>
          <w:bCs/>
          <w:sz w:val="24"/>
          <w:szCs w:val="24"/>
          <w:lang w:val="en-US" w:eastAsia="zh-CN"/>
        </w:rPr>
        <w:t>, PM</w:t>
      </w:r>
      <w:r>
        <w:rPr>
          <w:rFonts w:hint="eastAsia" w:ascii="Times New Roman" w:hAnsi="Times New Roman" w:cs="宋体"/>
          <w:b w:val="0"/>
          <w:bCs/>
          <w:sz w:val="24"/>
          <w:szCs w:val="24"/>
          <w:vertAlign w:val="subscript"/>
          <w:lang w:val="en-US" w:eastAsia="zh-CN"/>
        </w:rPr>
        <w:t>2.5-</w:t>
      </w:r>
      <w:r>
        <w:rPr>
          <w:rFonts w:hint="eastAsia" w:ascii="Times New Roman" w:hAnsi="Times New Roman" w:eastAsia="宋体" w:cs="宋体"/>
          <w:b w:val="0"/>
          <w:bCs/>
          <w:sz w:val="24"/>
          <w:szCs w:val="24"/>
          <w:vertAlign w:val="subscript"/>
          <w:lang w:val="en-US" w:eastAsia="zh-CN"/>
        </w:rPr>
        <w:t>10</w:t>
      </w:r>
      <w:r>
        <w:rPr>
          <w:rFonts w:hint="eastAsia" w:ascii="Times New Roman" w:hAnsi="Times New Roman" w:eastAsia="宋体" w:cs="宋体"/>
          <w:b w:val="0"/>
          <w:bCs/>
          <w:sz w:val="24"/>
          <w:szCs w:val="24"/>
          <w:vertAlign w:val="baseline"/>
          <w:lang w:val="en-US" w:eastAsia="zh-CN"/>
        </w:rPr>
        <w:t xml:space="preserve"> (</w:t>
      </w:r>
      <w:r>
        <w:rPr>
          <w:rFonts w:hint="eastAsia" w:ascii="Times New Roman" w:hAnsi="Times New Roman" w:cs="宋体"/>
          <w:b w:val="0"/>
          <w:bCs/>
          <w:sz w:val="24"/>
          <w:szCs w:val="24"/>
          <w:vertAlign w:val="baseline"/>
          <w:lang w:val="en-US" w:eastAsia="zh-CN"/>
        </w:rPr>
        <w:t>C</w:t>
      </w:r>
      <w:r>
        <w:rPr>
          <w:rFonts w:hint="eastAsia" w:ascii="Times New Roman" w:hAnsi="Times New Roman" w:eastAsia="宋体" w:cs="宋体"/>
          <w:b w:val="0"/>
          <w:bCs/>
          <w:sz w:val="24"/>
          <w:szCs w:val="24"/>
          <w:vertAlign w:val="baseline"/>
          <w:lang w:val="en-US" w:eastAsia="zh-CN"/>
        </w:rPr>
        <w:t>)</w:t>
      </w:r>
      <w:r>
        <w:rPr>
          <w:rFonts w:hint="eastAsia" w:ascii="Times New Roman" w:hAnsi="Times New Roman" w:eastAsia="宋体" w:cs="宋体"/>
          <w:b w:val="0"/>
          <w:bCs/>
          <w:sz w:val="24"/>
          <w:szCs w:val="24"/>
          <w:lang w:val="en-US" w:eastAsia="zh-CN"/>
        </w:rPr>
        <w:t>, PM</w:t>
      </w:r>
      <w:r>
        <w:rPr>
          <w:rFonts w:hint="eastAsia" w:ascii="Times New Roman" w:hAnsi="Times New Roman" w:eastAsia="宋体" w:cs="宋体"/>
          <w:b w:val="0"/>
          <w:bCs/>
          <w:sz w:val="24"/>
          <w:szCs w:val="24"/>
          <w:vertAlign w:val="subscript"/>
          <w:lang w:val="en-US" w:eastAsia="zh-CN"/>
        </w:rPr>
        <w:t>10</w:t>
      </w:r>
      <w:r>
        <w:rPr>
          <w:rFonts w:hint="eastAsia" w:ascii="Times New Roman" w:hAnsi="Times New Roman" w:eastAsia="宋体" w:cs="宋体"/>
          <w:b w:val="0"/>
          <w:bCs/>
          <w:sz w:val="24"/>
          <w:szCs w:val="24"/>
          <w:vertAlign w:val="baseline"/>
          <w:lang w:val="en-US" w:eastAsia="zh-CN"/>
        </w:rPr>
        <w:t xml:space="preserve"> (</w:t>
      </w:r>
      <w:r>
        <w:rPr>
          <w:rFonts w:hint="eastAsia" w:ascii="Times New Roman" w:hAnsi="Times New Roman" w:cs="宋体"/>
          <w:b w:val="0"/>
          <w:bCs/>
          <w:sz w:val="24"/>
          <w:szCs w:val="24"/>
          <w:vertAlign w:val="baseline"/>
          <w:lang w:val="en-US" w:eastAsia="zh-CN"/>
        </w:rPr>
        <w:t>D</w:t>
      </w:r>
      <w:r>
        <w:rPr>
          <w:rFonts w:hint="eastAsia" w:ascii="Times New Roman" w:hAnsi="Times New Roman" w:eastAsia="宋体" w:cs="宋体"/>
          <w:b w:val="0"/>
          <w:bCs/>
          <w:sz w:val="24"/>
          <w:szCs w:val="24"/>
          <w:vertAlign w:val="baseline"/>
          <w:lang w:val="en-US" w:eastAsia="zh-CN"/>
        </w:rPr>
        <w:t>)</w:t>
      </w:r>
      <w:r>
        <w:rPr>
          <w:rFonts w:hint="eastAsia" w:ascii="Times New Roman" w:hAnsi="Times New Roman" w:cs="宋体"/>
          <w:b w:val="0"/>
          <w:bCs/>
          <w:sz w:val="24"/>
          <w:szCs w:val="24"/>
          <w:vertAlign w:val="baseline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b w:val="0"/>
          <w:bCs/>
          <w:sz w:val="24"/>
          <w:szCs w:val="24"/>
          <w:lang w:val="en-US" w:eastAsia="zh-CN"/>
        </w:rPr>
        <w:t>were measured as</w:t>
      </w:r>
      <w:r>
        <w:rPr>
          <w:rFonts w:hint="default" w:ascii="Times New Roman" w:hAnsi="Times New Roman" w:eastAsia="宋体" w:cs="Times New Roman"/>
          <w:b w:val="0"/>
          <w:bCs/>
          <w:sz w:val="24"/>
          <w:szCs w:val="24"/>
          <w:lang w:val="en-US" w:eastAsia="zh-CN"/>
        </w:rPr>
        <w:t xml:space="preserve"> μ</w:t>
      </w:r>
      <w:r>
        <w:rPr>
          <w:rFonts w:hint="eastAsia" w:ascii="Times New Roman" w:hAnsi="Times New Roman" w:eastAsia="宋体" w:cs="宋体"/>
          <w:b w:val="0"/>
          <w:bCs/>
          <w:sz w:val="24"/>
          <w:szCs w:val="24"/>
          <w:lang w:val="en-US" w:eastAsia="zh-CN"/>
        </w:rPr>
        <w:t>g/m</w:t>
      </w:r>
      <w:r>
        <w:rPr>
          <w:rFonts w:hint="eastAsia" w:ascii="Times New Roman" w:hAnsi="Times New Roman" w:eastAsia="宋体" w:cs="宋体"/>
          <w:b w:val="0"/>
          <w:bCs/>
          <w:sz w:val="24"/>
          <w:szCs w:val="24"/>
          <w:vertAlign w:val="superscript"/>
          <w:lang w:val="en-US" w:eastAsia="zh-CN"/>
        </w:rPr>
        <w:t>3</w:t>
      </w:r>
      <w:r>
        <w:rPr>
          <w:rFonts w:hint="eastAsia" w:ascii="Times New Roman" w:hAnsi="Times New Roman" w:eastAsia="宋体" w:cs="宋体"/>
          <w:b w:val="0"/>
          <w:bCs/>
          <w:sz w:val="24"/>
          <w:szCs w:val="24"/>
          <w:vertAlign w:val="baseline"/>
          <w:lang w:val="en-US" w:eastAsia="zh-CN"/>
        </w:rPr>
        <w:t>.</w:t>
      </w:r>
    </w:p>
    <w:p w14:paraId="4ABAEB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/>
        <w:jc w:val="center"/>
        <w:textAlignment w:val="auto"/>
        <w:rPr>
          <w:rFonts w:hint="default" w:ascii="Times New Roman" w:hAnsi="Times New Roman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157470" cy="5782945"/>
            <wp:effectExtent l="0" t="0" r="11430" b="8255"/>
            <wp:docPr id="2" name="图片 2" descr="空气污染时间序列图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空气污染时间序列图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57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599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/>
        <w:jc w:val="left"/>
        <w:textAlignment w:val="auto"/>
        <w:rPr>
          <w:rFonts w:hint="eastAsia" w:ascii="Times New Roman" w:hAnsi="Times New Roman" w:cs="Times New Roman"/>
          <w:kern w:val="2"/>
          <w:sz w:val="22"/>
          <w:szCs w:val="22"/>
          <w:lang w:val="en-US" w:eastAsia="zh-CN" w:bidi="ar-SA"/>
        </w:rPr>
      </w:pPr>
      <w:bookmarkStart w:id="7" w:name="OLE_LINK35"/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Figure 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S4.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 The distribution of ambient air pollutant concentrations and meteorological variables in Gansu Province, China from 2018 to 2022. RH, mean daily relative humidity; Tmean, mean daily temperature.</w:t>
      </w:r>
      <w:bookmarkEnd w:id="7"/>
    </w:p>
    <w:p w14:paraId="5282C7B7">
      <w:pPr>
        <w:numPr>
          <w:ilvl w:val="0"/>
          <w:numId w:val="0"/>
        </w:numPr>
        <w:spacing w:before="120" w:after="120"/>
        <w:jc w:val="both"/>
        <w:rPr>
          <w:rFonts w:hint="default" w:ascii="Times New Roman" w:hAnsi="Times New Roman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57800" cy="1314450"/>
            <wp:effectExtent l="0" t="0" r="0" b="6350"/>
            <wp:docPr id="5" name="图片 5" descr="病例时间序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病例时间序列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719A5">
      <w:pPr>
        <w:numPr>
          <w:ilvl w:val="0"/>
          <w:numId w:val="0"/>
        </w:numPr>
        <w:spacing w:before="120" w:after="120"/>
        <w:jc w:val="left"/>
        <w:rPr>
          <w:rFonts w:hint="eastAsia" w:ascii="Times New Roman" w:hAnsi="Times New Roman" w:cs="Times New Roman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Figure 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S5.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 The distribution of daily COPD hospitalization in Gansu Province, China from 2018 to 2022.</w:t>
      </w:r>
    </w:p>
    <w:p w14:paraId="075051D4">
      <w:pPr>
        <w:numPr>
          <w:ilvl w:val="0"/>
          <w:numId w:val="0"/>
        </w:numPr>
        <w:spacing w:before="120" w:after="120"/>
        <w:jc w:val="center"/>
        <w:rPr>
          <w:rFonts w:hint="eastAsia" w:ascii="Times New Roman" w:hAnsi="Times New Roman" w:cs="Times New Roman"/>
          <w:lang w:val="en-US" w:eastAsia="zh-CN"/>
        </w:rPr>
      </w:pPr>
    </w:p>
    <w:p w14:paraId="527C8CD0">
      <w:pPr>
        <w:numPr>
          <w:ilvl w:val="0"/>
          <w:numId w:val="0"/>
        </w:numPr>
        <w:spacing w:before="120" w:after="120"/>
        <w:ind w:leftChars="0"/>
        <w:jc w:val="both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bookmarkStart w:id="8" w:name="OLE_LINK46"/>
    </w:p>
    <w:p w14:paraId="7DD2E2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cs="Times New Roman"/>
          <w:b w:val="0"/>
          <w:color w:val="000000"/>
          <w:sz w:val="22"/>
          <w:szCs w:val="22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S1.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color w:val="000000"/>
          <w:sz w:val="22"/>
          <w:szCs w:val="22"/>
          <w:lang w:val="en-US" w:eastAsia="zh-CN"/>
        </w:rPr>
        <w:t>The attributable fraction</w:t>
      </w:r>
      <w:r>
        <w:rPr>
          <w:rFonts w:hint="eastAsia" w:ascii="Times New Roman" w:hAnsi="Times New Roman" w:cs="Times New Roman"/>
          <w:b w:val="0"/>
          <w:color w:val="000000"/>
          <w:sz w:val="22"/>
          <w:szCs w:val="22"/>
          <w:lang w:val="en-US" w:eastAsia="zh-CN"/>
        </w:rPr>
        <w:t xml:space="preserve"> and</w:t>
      </w:r>
      <w:r>
        <w:rPr>
          <w:rFonts w:hint="eastAsia" w:ascii="Times New Roman" w:hAnsi="Times New Roman" w:eastAsia="宋体" w:cs="Times New Roman"/>
          <w:b w:val="0"/>
          <w:color w:val="000000"/>
          <w:sz w:val="22"/>
          <w:szCs w:val="22"/>
          <w:lang w:val="en-US" w:eastAsia="zh-CN"/>
        </w:rPr>
        <w:t xml:space="preserve"> attributable number</w:t>
      </w:r>
      <w:r>
        <w:rPr>
          <w:rFonts w:hint="eastAsia" w:ascii="Times New Roman" w:hAnsi="Times New Roman" w:cs="Times New Roman"/>
          <w:b w:val="0"/>
          <w:color w:val="000000"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color w:val="000000"/>
          <w:sz w:val="22"/>
          <w:szCs w:val="22"/>
          <w:lang w:val="en-US" w:eastAsia="zh-CN"/>
        </w:rPr>
        <w:t>of COPD hospitalization related to PM pollution</w:t>
      </w:r>
      <w:r>
        <w:rPr>
          <w:rFonts w:hint="eastAsia" w:ascii="Times New Roman" w:hAnsi="Times New Roman" w:cs="Times New Roman"/>
          <w:b w:val="0"/>
          <w:color w:val="000000"/>
          <w:sz w:val="22"/>
          <w:szCs w:val="22"/>
          <w:lang w:val="en-US" w:eastAsia="zh-CN"/>
        </w:rPr>
        <w:t xml:space="preserve"> stratified by sex, age, season, region.</w:t>
      </w:r>
    </w:p>
    <w:tbl>
      <w:tblPr>
        <w:tblStyle w:val="5"/>
        <w:tblpPr w:leftFromText="180" w:rightFromText="180" w:vertAnchor="page" w:horzAnchor="page" w:tblpX="1063" w:tblpY="2804"/>
        <w:tblOverlap w:val="never"/>
        <w:tblW w:w="14145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3"/>
        <w:gridCol w:w="2052"/>
        <w:gridCol w:w="2052"/>
        <w:gridCol w:w="2155"/>
        <w:gridCol w:w="1949"/>
        <w:gridCol w:w="2052"/>
        <w:gridCol w:w="2052"/>
      </w:tblGrid>
      <w:tr w14:paraId="00C2094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1833" w:type="dxa"/>
            <w:vMerge w:val="restart"/>
            <w:tcBorders>
              <w:top w:val="single" w:color="000000" w:sz="12" w:space="0"/>
              <w:tl2br w:val="nil"/>
            </w:tcBorders>
            <w:shd w:val="clear" w:color="auto" w:fill="FFFFFF"/>
            <w:noWrap/>
            <w:vAlign w:val="center"/>
          </w:tcPr>
          <w:p w14:paraId="49C2BBA0">
            <w:pPr>
              <w:keepNext w:val="0"/>
              <w:keepLines w:val="0"/>
              <w:widowControl/>
              <w:suppressLineNumbers w:val="0"/>
              <w:jc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  <w:lang w:val="en-US" w:eastAsia="zh-CN"/>
              </w:rPr>
              <w:t>Variables</w:t>
            </w:r>
          </w:p>
        </w:tc>
        <w:tc>
          <w:tcPr>
            <w:tcW w:w="4104" w:type="dxa"/>
            <w:gridSpan w:val="2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noWrap/>
            <w:vAlign w:val="center"/>
          </w:tcPr>
          <w:p w14:paraId="304D42CD"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zh-CN"/>
              </w:rPr>
              <w:t>PM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en-US" w:eastAsia="zh-CN"/>
              </w:rPr>
              <w:t>2.5</w:t>
            </w:r>
          </w:p>
        </w:tc>
        <w:tc>
          <w:tcPr>
            <w:tcW w:w="4104" w:type="dxa"/>
            <w:gridSpan w:val="2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noWrap/>
            <w:vAlign w:val="center"/>
          </w:tcPr>
          <w:p w14:paraId="06C0F32F"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zh-CN"/>
              </w:rPr>
              <w:t>PM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en-US" w:eastAsia="zh-CN"/>
              </w:rPr>
              <w:t>2.5-10</w:t>
            </w:r>
          </w:p>
        </w:tc>
        <w:tc>
          <w:tcPr>
            <w:tcW w:w="4104" w:type="dxa"/>
            <w:gridSpan w:val="2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noWrap/>
            <w:vAlign w:val="center"/>
          </w:tcPr>
          <w:p w14:paraId="60F57940">
            <w:pPr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zh-CN"/>
              </w:rPr>
              <w:t>PM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en-US" w:eastAsia="zh-CN"/>
              </w:rPr>
              <w:t>10</w:t>
            </w:r>
          </w:p>
        </w:tc>
      </w:tr>
      <w:tr w14:paraId="18507A5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33" w:type="dxa"/>
            <w:vMerge w:val="continue"/>
            <w:tcBorders>
              <w:bottom w:val="single" w:color="auto" w:sz="4" w:space="0"/>
            </w:tcBorders>
            <w:shd w:val="clear" w:color="auto" w:fill="FFFFFF"/>
            <w:noWrap/>
            <w:vAlign w:val="center"/>
          </w:tcPr>
          <w:p w14:paraId="002CA0F5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color="000000" w:sz="4" w:space="0"/>
              <w:bottom w:val="single" w:color="auto" w:sz="4" w:space="0"/>
            </w:tcBorders>
            <w:shd w:val="clear" w:color="auto" w:fill="FFFFFF"/>
            <w:noWrap/>
            <w:vAlign w:val="center"/>
          </w:tcPr>
          <w:p w14:paraId="5F6AF52A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bookmarkStart w:id="9" w:name="OLE_LINK69"/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Attributable fraction</w:t>
            </w:r>
            <w:bookmarkEnd w:id="9"/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 in %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(95% CI)</w:t>
            </w:r>
          </w:p>
        </w:tc>
        <w:tc>
          <w:tcPr>
            <w:tcW w:w="2052" w:type="dxa"/>
            <w:tcBorders>
              <w:top w:val="single" w:color="000000" w:sz="4" w:space="0"/>
              <w:bottom w:val="single" w:color="auto" w:sz="4" w:space="0"/>
            </w:tcBorders>
            <w:shd w:val="clear" w:color="auto" w:fill="FFFFFF"/>
            <w:noWrap/>
            <w:vAlign w:val="center"/>
          </w:tcPr>
          <w:p w14:paraId="240F309A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Attributable number (95% CI)</w:t>
            </w:r>
          </w:p>
        </w:tc>
        <w:tc>
          <w:tcPr>
            <w:tcW w:w="2155" w:type="dxa"/>
            <w:tcBorders>
              <w:top w:val="single" w:color="000000" w:sz="4" w:space="0"/>
              <w:bottom w:val="single" w:color="auto" w:sz="4" w:space="0"/>
            </w:tcBorders>
            <w:shd w:val="clear" w:color="auto" w:fill="FFFFFF"/>
            <w:noWrap/>
            <w:vAlign w:val="center"/>
          </w:tcPr>
          <w:p w14:paraId="3BAE527E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Attributable fraction in %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(95% CI)</w:t>
            </w:r>
          </w:p>
        </w:tc>
        <w:tc>
          <w:tcPr>
            <w:tcW w:w="1949" w:type="dxa"/>
            <w:tcBorders>
              <w:top w:val="single" w:color="000000" w:sz="4" w:space="0"/>
              <w:bottom w:val="single" w:color="auto" w:sz="4" w:space="0"/>
            </w:tcBorders>
            <w:shd w:val="clear" w:color="auto" w:fill="FFFFFF"/>
            <w:noWrap/>
            <w:vAlign w:val="center"/>
          </w:tcPr>
          <w:p w14:paraId="0D358C5C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Attributable number (95% CI)</w:t>
            </w:r>
          </w:p>
        </w:tc>
        <w:tc>
          <w:tcPr>
            <w:tcW w:w="2052" w:type="dxa"/>
            <w:tcBorders>
              <w:top w:val="single" w:color="000000" w:sz="4" w:space="0"/>
              <w:bottom w:val="single" w:color="auto" w:sz="4" w:space="0"/>
            </w:tcBorders>
            <w:shd w:val="clear" w:color="auto" w:fill="FFFFFF"/>
            <w:noWrap/>
            <w:vAlign w:val="center"/>
          </w:tcPr>
          <w:p w14:paraId="1120ABF8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Attributable fraction in % (95% CI)</w:t>
            </w:r>
          </w:p>
        </w:tc>
        <w:tc>
          <w:tcPr>
            <w:tcW w:w="2052" w:type="dxa"/>
            <w:tcBorders>
              <w:top w:val="single" w:color="000000" w:sz="4" w:space="0"/>
              <w:bottom w:val="single" w:color="auto" w:sz="4" w:space="0"/>
            </w:tcBorders>
            <w:shd w:val="clear" w:color="auto" w:fill="FFFFFF"/>
            <w:noWrap/>
            <w:vAlign w:val="center"/>
          </w:tcPr>
          <w:p w14:paraId="17DFDF23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Attributable number (95% CI)</w:t>
            </w:r>
          </w:p>
        </w:tc>
      </w:tr>
      <w:tr w14:paraId="6ED66A6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33" w:type="dxa"/>
            <w:tcBorders>
              <w:top w:val="single" w:color="auto" w:sz="4" w:space="0"/>
            </w:tcBorders>
            <w:shd w:val="clear" w:color="auto" w:fill="FFFFFF"/>
            <w:noWrap/>
            <w:vAlign w:val="center"/>
          </w:tcPr>
          <w:p w14:paraId="7C1107D1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Total</w:t>
            </w:r>
          </w:p>
        </w:tc>
        <w:tc>
          <w:tcPr>
            <w:tcW w:w="2052" w:type="dxa"/>
            <w:tcBorders>
              <w:top w:val="single" w:color="auto" w:sz="4" w:space="0"/>
            </w:tcBorders>
            <w:shd w:val="clear" w:color="auto" w:fill="FFFFFF"/>
            <w:noWrap/>
            <w:vAlign w:val="center"/>
          </w:tcPr>
          <w:p w14:paraId="7818E0B8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8.67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3A422C75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8.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50 to 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8.8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tcBorders>
              <w:top w:val="single" w:color="auto" w:sz="4" w:space="0"/>
            </w:tcBorders>
            <w:shd w:val="clear" w:color="auto" w:fill="FFFFFF"/>
            <w:noWrap/>
            <w:vAlign w:val="center"/>
          </w:tcPr>
          <w:p w14:paraId="7746233B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23 014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58A26B59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225 45 to 23 482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155" w:type="dxa"/>
            <w:tcBorders>
              <w:top w:val="single" w:color="auto" w:sz="4" w:space="0"/>
            </w:tcBorders>
            <w:shd w:val="clear" w:color="auto" w:fill="FFFFFF"/>
            <w:noWrap/>
            <w:vAlign w:val="center"/>
          </w:tcPr>
          <w:p w14:paraId="019B03DA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1.48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1A48E115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1.44 to 1.52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1949" w:type="dxa"/>
            <w:tcBorders>
              <w:top w:val="single" w:color="auto" w:sz="4" w:space="0"/>
            </w:tcBorders>
            <w:shd w:val="clear" w:color="auto" w:fill="FFFFFF"/>
            <w:noWrap/>
            <w:vAlign w:val="center"/>
          </w:tcPr>
          <w:p w14:paraId="0E5B49DD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3919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6CB2A53E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3814 to 4024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2052" w:type="dxa"/>
            <w:tcBorders>
              <w:top w:val="single" w:color="auto" w:sz="4" w:space="0"/>
            </w:tcBorders>
            <w:shd w:val="clear" w:color="auto" w:fill="FFFFFF"/>
            <w:noWrap/>
            <w:vAlign w:val="center"/>
          </w:tcPr>
          <w:p w14:paraId="59C97A88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2.94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2C88843D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2.87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 to 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tcBorders>
              <w:top w:val="single" w:color="auto" w:sz="4" w:space="0"/>
            </w:tcBorders>
            <w:shd w:val="clear" w:color="auto" w:fill="FFFFFF"/>
            <w:noWrap/>
            <w:vAlign w:val="center"/>
          </w:tcPr>
          <w:p w14:paraId="2A705DD3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7813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3B872648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7620 to 8007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</w:tr>
      <w:tr w14:paraId="64E972E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33" w:type="dxa"/>
            <w:shd w:val="clear" w:color="auto" w:fill="FFFFFF"/>
            <w:noWrap/>
            <w:vAlign w:val="center"/>
          </w:tcPr>
          <w:p w14:paraId="50EAE8DF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Sex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07B269F0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4EE751BE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</w:p>
        </w:tc>
        <w:tc>
          <w:tcPr>
            <w:tcW w:w="2155" w:type="dxa"/>
            <w:shd w:val="clear" w:color="auto" w:fill="FFFFFF"/>
            <w:noWrap/>
            <w:vAlign w:val="center"/>
          </w:tcPr>
          <w:p w14:paraId="0402FAE2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</w:p>
        </w:tc>
        <w:tc>
          <w:tcPr>
            <w:tcW w:w="1949" w:type="dxa"/>
            <w:shd w:val="clear" w:color="auto" w:fill="FFFFFF"/>
            <w:noWrap/>
            <w:vAlign w:val="center"/>
          </w:tcPr>
          <w:p w14:paraId="25DE7432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570380A0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4AD00CAA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 w14:paraId="069A833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33" w:type="dxa"/>
            <w:shd w:val="clear" w:color="auto" w:fill="FFFFFF"/>
            <w:noWrap/>
            <w:vAlign w:val="center"/>
          </w:tcPr>
          <w:p w14:paraId="6FA260E2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Male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118A0E70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  <w:highlight w:val="none"/>
              </w:rPr>
              <w:t>8.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78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650C5034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  <w:highlight w:val="none"/>
              </w:rPr>
              <w:t>8.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 xml:space="preserve">59 to 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  <w:highlight w:val="none"/>
              </w:rPr>
              <w:t>8.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96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0C027EC6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13 480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563E7BCB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13 194 to 13 758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2155" w:type="dxa"/>
            <w:shd w:val="clear" w:color="auto" w:fill="FFFFFF"/>
            <w:noWrap/>
            <w:vAlign w:val="center"/>
          </w:tcPr>
          <w:p w14:paraId="653E9A2A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1.69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40217D07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1.64 to 1.74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1949" w:type="dxa"/>
            <w:shd w:val="clear" w:color="auto" w:fill="FFFFFF"/>
            <w:noWrap/>
            <w:vAlign w:val="center"/>
          </w:tcPr>
          <w:p w14:paraId="456C32A8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2597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427F5B93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2523 to 2671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02FA3751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 xml:space="preserve">3.14 </w:t>
            </w:r>
          </w:p>
          <w:p w14:paraId="43498978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(3.06 to 3.22)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36009400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 xml:space="preserve">4819 </w:t>
            </w:r>
          </w:p>
          <w:p w14:paraId="024AEF57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(4693 to 4944)</w:t>
            </w:r>
          </w:p>
        </w:tc>
      </w:tr>
      <w:tr w14:paraId="0467CD5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33" w:type="dxa"/>
            <w:shd w:val="clear" w:color="auto" w:fill="FFFFFF"/>
            <w:noWrap/>
            <w:vAlign w:val="center"/>
          </w:tcPr>
          <w:p w14:paraId="4E7BB0B5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Female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082688C0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  <w:highlight w:val="none"/>
              </w:rPr>
              <w:t>8.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49</w:t>
            </w:r>
          </w:p>
          <w:p w14:paraId="4E504077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(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  <w:highlight w:val="none"/>
              </w:rPr>
              <w:t>8.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 xml:space="preserve">33 to 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  <w:highlight w:val="none"/>
              </w:rPr>
              <w:t>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.66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50384B79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9 497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02C9AE25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9 312 to 9 682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2155" w:type="dxa"/>
            <w:shd w:val="clear" w:color="auto" w:fill="FFFFFF"/>
            <w:noWrap/>
            <w:vAlign w:val="center"/>
          </w:tcPr>
          <w:p w14:paraId="2179AFBE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1.12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45532788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1.10 to 1.15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1949" w:type="dxa"/>
            <w:shd w:val="clear" w:color="auto" w:fill="FFFFFF"/>
            <w:noWrap/>
            <w:vAlign w:val="center"/>
          </w:tcPr>
          <w:p w14:paraId="5DF0866C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 xml:space="preserve">1257 </w:t>
            </w:r>
          </w:p>
          <w:p w14:paraId="4A9EC207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1226 to 1288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1F6D331C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2.62</w:t>
            </w:r>
          </w:p>
          <w:p w14:paraId="2C769930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(2.56 to 2.68)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09991B83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 xml:space="preserve">2933 </w:t>
            </w:r>
          </w:p>
          <w:p w14:paraId="5AD68BF3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(2865 to 3000)</w:t>
            </w:r>
          </w:p>
        </w:tc>
      </w:tr>
      <w:tr w14:paraId="27CE04C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33" w:type="dxa"/>
            <w:shd w:val="clear" w:color="auto" w:fill="FFFFFF"/>
            <w:noWrap/>
            <w:vAlign w:val="center"/>
          </w:tcPr>
          <w:p w14:paraId="673FD32B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Age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3C42D84E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06A1A7D5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</w:p>
        </w:tc>
        <w:tc>
          <w:tcPr>
            <w:tcW w:w="2155" w:type="dxa"/>
            <w:shd w:val="clear" w:color="auto" w:fill="FFFFFF"/>
            <w:noWrap/>
            <w:vAlign w:val="center"/>
          </w:tcPr>
          <w:p w14:paraId="76714976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</w:p>
        </w:tc>
        <w:tc>
          <w:tcPr>
            <w:tcW w:w="1949" w:type="dxa"/>
            <w:shd w:val="clear" w:color="auto" w:fill="FFFFFF"/>
            <w:noWrap/>
            <w:vAlign w:val="center"/>
          </w:tcPr>
          <w:p w14:paraId="391061E5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76596936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4C01EC9A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 w14:paraId="0FCA88D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33" w:type="dxa"/>
            <w:shd w:val="clear" w:color="auto" w:fill="FFFFFF"/>
            <w:noWrap/>
            <w:vAlign w:val="center"/>
          </w:tcPr>
          <w:p w14:paraId="429BA0A7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0-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1C6468F3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8.46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4BD7966B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8.29 to 8.64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75980007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966</w:t>
            </w:r>
          </w:p>
          <w:p w14:paraId="6677AD91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946 to 986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155" w:type="dxa"/>
            <w:shd w:val="clear" w:color="auto" w:fill="FFFFFF"/>
            <w:noWrap/>
            <w:vAlign w:val="center"/>
          </w:tcPr>
          <w:p w14:paraId="14E80BB9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0.36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7118EA8F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0.35 to 0.36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1949" w:type="dxa"/>
            <w:shd w:val="clear" w:color="auto" w:fill="FFFFFF"/>
            <w:noWrap/>
            <w:vAlign w:val="center"/>
          </w:tcPr>
          <w:p w14:paraId="4324AC0E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41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3062130F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40 to 42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30805CD8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2.66</w:t>
            </w:r>
          </w:p>
          <w:p w14:paraId="21A1A481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2.58 to 2.73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43FBCE7F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303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1F9BCFE9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295 to 311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</w:tr>
      <w:tr w14:paraId="51911DE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33" w:type="dxa"/>
            <w:shd w:val="clear" w:color="auto" w:fill="FFFFFF"/>
            <w:noWrap/>
            <w:vAlign w:val="center"/>
          </w:tcPr>
          <w:p w14:paraId="08862B05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50-59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47A11201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8.54</w:t>
            </w:r>
          </w:p>
          <w:p w14:paraId="34580833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8.37 to 8.72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3E0CB478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2 865</w:t>
            </w:r>
          </w:p>
          <w:p w14:paraId="2212DF95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2 806 to 2 924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155" w:type="dxa"/>
            <w:shd w:val="clear" w:color="auto" w:fill="FFFFFF"/>
            <w:noWrap/>
            <w:vAlign w:val="center"/>
          </w:tcPr>
          <w:p w14:paraId="25DE734A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1.42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6296BAD4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1.38 to 1.46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1949" w:type="dxa"/>
            <w:shd w:val="clear" w:color="auto" w:fill="FFFFFF"/>
            <w:noWrap/>
            <w:vAlign w:val="center"/>
          </w:tcPr>
          <w:p w14:paraId="5889C0DE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 xml:space="preserve">477 </w:t>
            </w:r>
          </w:p>
          <w:p w14:paraId="361C451A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464 to 491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59827BB2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85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34B0218C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78 to 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92d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7F815CFB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956 </w:t>
            </w:r>
          </w:p>
          <w:p w14:paraId="1371CC55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932 to 981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</w:tr>
      <w:tr w14:paraId="559A525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33" w:type="dxa"/>
            <w:shd w:val="clear" w:color="auto" w:fill="FFFFFF"/>
            <w:noWrap/>
            <w:vAlign w:val="center"/>
          </w:tcPr>
          <w:p w14:paraId="028A4317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60-69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5151B15F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8.68</w:t>
            </w:r>
          </w:p>
          <w:p w14:paraId="34DD032F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.50 to 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8.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68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17A9182A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6 918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74632F1A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6 777 to 7 058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155" w:type="dxa"/>
            <w:shd w:val="clear" w:color="auto" w:fill="FFFFFF"/>
            <w:noWrap/>
            <w:vAlign w:val="center"/>
          </w:tcPr>
          <w:p w14:paraId="308FBF78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1.91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2CC9FABD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1.85 to 1.97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1949" w:type="dxa"/>
            <w:shd w:val="clear" w:color="auto" w:fill="FFFFFF"/>
            <w:noWrap/>
            <w:vAlign w:val="center"/>
          </w:tcPr>
          <w:p w14:paraId="1628E194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1523</w:t>
            </w:r>
          </w:p>
          <w:p w14:paraId="2869BFFF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1477 to 1568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7CEB90EE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2.96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25D1EF79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.89 to 3.03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18742EE6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2359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2AB39BCA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2301 to 2417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</w:tr>
      <w:tr w14:paraId="3E9FA32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33" w:type="dxa"/>
            <w:shd w:val="clear" w:color="auto" w:fill="FFFFFF"/>
            <w:noWrap/>
            <w:vAlign w:val="center"/>
          </w:tcPr>
          <w:p w14:paraId="558D0FF3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70-79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792E3E40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8.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67</w:t>
            </w:r>
          </w:p>
          <w:p w14:paraId="046C88B5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8.5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0 to 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8.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85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7D658CD8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8 997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4AC88C37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8 813 to 9 180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155" w:type="dxa"/>
            <w:shd w:val="clear" w:color="auto" w:fill="FFFFFF"/>
            <w:noWrap/>
            <w:vAlign w:val="center"/>
          </w:tcPr>
          <w:p w14:paraId="26779958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1.99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2BA459AA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1.93 to 2.06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1949" w:type="dxa"/>
            <w:shd w:val="clear" w:color="auto" w:fill="FFFFFF"/>
            <w:noWrap/>
            <w:vAlign w:val="center"/>
          </w:tcPr>
          <w:p w14:paraId="6780BB59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2069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6C18A5FB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2006 to 2132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4D401E45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1AD87CD9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.89 to 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04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18D0930E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3073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6429F7CD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2997 to 3148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</w:tr>
      <w:tr w14:paraId="5A24A7D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33" w:type="dxa"/>
            <w:shd w:val="clear" w:color="auto" w:fill="FFFFFF"/>
            <w:noWrap/>
            <w:vAlign w:val="center"/>
          </w:tcPr>
          <w:p w14:paraId="08DFC3D9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≥80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7756CDC6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8.80</w:t>
            </w:r>
          </w:p>
          <w:p w14:paraId="6943D003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8.62 to 8.97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6BC3BDE4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3 476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514E8C23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3 406 to 3 545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155" w:type="dxa"/>
            <w:shd w:val="clear" w:color="auto" w:fill="FFFFFF"/>
            <w:noWrap/>
            <w:vAlign w:val="center"/>
          </w:tcPr>
          <w:p w14:paraId="757B43A5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2.53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413E8CA0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2.44 to 2.62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1949" w:type="dxa"/>
            <w:shd w:val="clear" w:color="auto" w:fill="FFFFFF"/>
            <w:noWrap/>
            <w:vAlign w:val="center"/>
          </w:tcPr>
          <w:p w14:paraId="64E3714C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999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3FF00FE0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963 to 1034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63A72E13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2.99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743F1651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2.92 to 3.07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6E340807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1183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63A611F1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1154 to 1212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</w:tr>
      <w:tr w14:paraId="79A93E2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33" w:type="dxa"/>
            <w:shd w:val="clear" w:color="auto" w:fill="FFFFFF"/>
            <w:noWrap/>
            <w:vAlign w:val="center"/>
          </w:tcPr>
          <w:p w14:paraId="20876D00">
            <w:pPr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Season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3931DE04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0081D767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</w:p>
        </w:tc>
        <w:tc>
          <w:tcPr>
            <w:tcW w:w="2155" w:type="dxa"/>
            <w:shd w:val="clear" w:color="auto" w:fill="FFFFFF"/>
            <w:noWrap/>
            <w:vAlign w:val="center"/>
          </w:tcPr>
          <w:p w14:paraId="2DC1376D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</w:p>
        </w:tc>
        <w:tc>
          <w:tcPr>
            <w:tcW w:w="1949" w:type="dxa"/>
            <w:shd w:val="clear" w:color="auto" w:fill="FFFFFF"/>
            <w:noWrap/>
            <w:vAlign w:val="center"/>
          </w:tcPr>
          <w:p w14:paraId="58218D31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2BA802D2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1CBA1E41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 w14:paraId="628B585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33" w:type="dxa"/>
            <w:shd w:val="clear" w:color="auto" w:fill="FFFFFF"/>
            <w:noWrap/>
            <w:vAlign w:val="center"/>
          </w:tcPr>
          <w:p w14:paraId="4927B252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Cold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1DD8651E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14.08</w:t>
            </w:r>
          </w:p>
          <w:p w14:paraId="43623448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13.47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 to 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14.6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72E3CF50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19 969</w:t>
            </w:r>
          </w:p>
          <w:p w14:paraId="3A5406DC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19 101 to 20 824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155" w:type="dxa"/>
            <w:shd w:val="clear" w:color="auto" w:fill="FFFFFF"/>
            <w:noWrap/>
            <w:vAlign w:val="center"/>
          </w:tcPr>
          <w:p w14:paraId="51F7B4E6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 xml:space="preserve">10.76 </w:t>
            </w:r>
          </w:p>
          <w:p w14:paraId="41D59CFD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 xml:space="preserve">9.67 to 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  <w:highlight w:val="none"/>
              </w:rPr>
              <w:t>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1.83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1949" w:type="dxa"/>
            <w:shd w:val="clear" w:color="auto" w:fill="FFFFFF"/>
            <w:noWrap/>
            <w:vAlign w:val="center"/>
          </w:tcPr>
          <w:p w14:paraId="4E134849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572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7C349D1D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514 to 629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78E73837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294C25F4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9 to 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3.43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0F2E6229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4691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4750C882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4518 to 4864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</w:tr>
      <w:tr w14:paraId="1661821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33" w:type="dxa"/>
            <w:shd w:val="clear" w:color="auto" w:fill="FFFFFF"/>
            <w:noWrap/>
            <w:vAlign w:val="center"/>
          </w:tcPr>
          <w:p w14:paraId="13BB9AA9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Warm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6534480E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6.28</w:t>
            </w:r>
          </w:p>
          <w:p w14:paraId="08ACC8C1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6.12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 to 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6.4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0184FDFE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7 766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4F74017A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7 567 to 7 965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155" w:type="dxa"/>
            <w:shd w:val="clear" w:color="auto" w:fill="FFFFFF"/>
            <w:noWrap/>
            <w:vAlign w:val="center"/>
          </w:tcPr>
          <w:p w14:paraId="28795230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2.83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16E6FB50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2.61 to 3.05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1949" w:type="dxa"/>
            <w:shd w:val="clear" w:color="auto" w:fill="FFFFFF"/>
            <w:noWrap/>
            <w:vAlign w:val="center"/>
          </w:tcPr>
          <w:p w14:paraId="0E63F288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132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1BE10F3A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122 to 143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314556DB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509929E2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4 to 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2.98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5FE1F001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3595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730F54DA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3506 to 3684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</w:tr>
      <w:tr w14:paraId="5F70C71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33" w:type="dxa"/>
            <w:shd w:val="clear" w:color="auto" w:fill="FFFFFF"/>
            <w:noWrap/>
            <w:vAlign w:val="center"/>
          </w:tcPr>
          <w:p w14:paraId="31B17CAE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Region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6A2B8E04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4714373A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</w:p>
        </w:tc>
        <w:tc>
          <w:tcPr>
            <w:tcW w:w="2155" w:type="dxa"/>
            <w:shd w:val="clear" w:color="auto" w:fill="FFFFFF"/>
            <w:noWrap/>
            <w:vAlign w:val="center"/>
          </w:tcPr>
          <w:p w14:paraId="262EDCA9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</w:p>
        </w:tc>
        <w:tc>
          <w:tcPr>
            <w:tcW w:w="1949" w:type="dxa"/>
            <w:shd w:val="clear" w:color="auto" w:fill="FFFFFF"/>
            <w:noWrap/>
            <w:vAlign w:val="center"/>
          </w:tcPr>
          <w:p w14:paraId="171E1C4B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15CC9B3B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3D38886C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 w14:paraId="3F033A0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33" w:type="dxa"/>
            <w:shd w:val="clear" w:color="auto" w:fill="FFFFFF"/>
            <w:noWrap/>
            <w:vAlign w:val="center"/>
          </w:tcPr>
          <w:p w14:paraId="00B297E3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 xml:space="preserve">Arid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r</w:t>
            </w:r>
            <w:r>
              <w:rPr>
                <w:rFonts w:hint="eastAsia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egion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3D47E5F5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4.96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6CF7B66C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4.74 to 5.17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239D8C72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1 972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7866ADA0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1 887 to 2 057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155" w:type="dxa"/>
            <w:shd w:val="clear" w:color="auto" w:fill="FFFFFF"/>
            <w:noWrap/>
            <w:vAlign w:val="center"/>
          </w:tcPr>
          <w:p w14:paraId="32A3B8A8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 xml:space="preserve">7.13 </w:t>
            </w:r>
          </w:p>
          <w:p w14:paraId="04E5A649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6.35 to 7.90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1949" w:type="dxa"/>
            <w:shd w:val="clear" w:color="auto" w:fill="FFFFFF"/>
            <w:noWrap/>
            <w:vAlign w:val="center"/>
          </w:tcPr>
          <w:p w14:paraId="0DAED2DA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218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2618433A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195 to 242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04081156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66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76AE7AC5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48 to 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86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6B6B7AF7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1460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477B9249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1385 to 1534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</w:tr>
      <w:tr w14:paraId="63A6220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33" w:type="dxa"/>
            <w:shd w:val="clear" w:color="auto" w:fill="FFFFFF"/>
            <w:noWrap/>
            <w:vAlign w:val="center"/>
          </w:tcPr>
          <w:p w14:paraId="0631197F">
            <w:pPr>
              <w:jc w:val="center"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Semi-arid region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221F4046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4.16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3F165BAE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4.05 to 4.27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4C69F278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4 700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20F5FA55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4 577 to 4 823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155" w:type="dxa"/>
            <w:shd w:val="clear" w:color="auto" w:fill="FFFFFF"/>
            <w:noWrap/>
            <w:vAlign w:val="center"/>
          </w:tcPr>
          <w:p w14:paraId="2E5385F0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12.06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7F08D0A7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9.93 to 14.09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1949" w:type="dxa"/>
            <w:shd w:val="clear" w:color="auto" w:fill="FFFFFF"/>
            <w:noWrap/>
            <w:vAlign w:val="center"/>
          </w:tcPr>
          <w:p w14:paraId="197F6CAA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618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30CA5D08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509 to 722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3B883497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2.08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4D1E6FA0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1.99 to 2.18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shd w:val="clear" w:color="auto" w:fill="FFFFFF"/>
            <w:noWrap/>
            <w:vAlign w:val="center"/>
          </w:tcPr>
          <w:p w14:paraId="352DF27C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2354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29AC3F0F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2245 to 2462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</w:tr>
      <w:tr w14:paraId="4482D78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33" w:type="dxa"/>
            <w:tcBorders>
              <w:bottom w:val="single" w:color="000000" w:sz="12" w:space="0"/>
            </w:tcBorders>
            <w:shd w:val="clear" w:color="auto" w:fill="FFFFFF"/>
            <w:noWrap/>
            <w:vAlign w:val="center"/>
          </w:tcPr>
          <w:p w14:paraId="4D828E02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Humid and semi-humid region</w:t>
            </w:r>
          </w:p>
        </w:tc>
        <w:tc>
          <w:tcPr>
            <w:tcW w:w="2052" w:type="dxa"/>
            <w:tcBorders>
              <w:bottom w:val="single" w:color="000000" w:sz="12" w:space="0"/>
            </w:tcBorders>
            <w:shd w:val="clear" w:color="auto" w:fill="FFFFFF"/>
            <w:noWrap/>
            <w:vAlign w:val="center"/>
          </w:tcPr>
          <w:p w14:paraId="7B214F6C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16.86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46629113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16.58 to 17.13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tcBorders>
              <w:bottom w:val="single" w:color="000000" w:sz="12" w:space="0"/>
            </w:tcBorders>
            <w:shd w:val="clear" w:color="auto" w:fill="FFFFFF"/>
            <w:noWrap/>
            <w:vAlign w:val="center"/>
          </w:tcPr>
          <w:p w14:paraId="35ED1077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18 994</w:t>
            </w:r>
          </w:p>
          <w:p w14:paraId="068564B0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18 684 to19 303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155" w:type="dxa"/>
            <w:tcBorders>
              <w:bottom w:val="single" w:color="000000" w:sz="12" w:space="0"/>
            </w:tcBorders>
            <w:shd w:val="clear" w:color="auto" w:fill="FFFFFF"/>
            <w:noWrap/>
            <w:vAlign w:val="center"/>
          </w:tcPr>
          <w:p w14:paraId="599EB1C4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23.78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255E39FA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18.62 to 28.31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1949" w:type="dxa"/>
            <w:tcBorders>
              <w:bottom w:val="single" w:color="000000" w:sz="12" w:space="0"/>
            </w:tcBorders>
            <w:shd w:val="clear" w:color="auto" w:fill="FFFFFF"/>
            <w:noWrap/>
            <w:vAlign w:val="center"/>
          </w:tcPr>
          <w:p w14:paraId="63BBC015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429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 xml:space="preserve"> </w:t>
            </w:r>
          </w:p>
          <w:p w14:paraId="586407CB">
            <w:pPr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val="en-US" w:eastAsia="zh-CN"/>
              </w:rPr>
              <w:t>336 to 511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highlight w:val="none"/>
                <w:lang w:eastAsia="zh-CN"/>
              </w:rPr>
              <w:t>)</w:t>
            </w:r>
          </w:p>
        </w:tc>
        <w:tc>
          <w:tcPr>
            <w:tcW w:w="2052" w:type="dxa"/>
            <w:tcBorders>
              <w:bottom w:val="single" w:color="000000" w:sz="12" w:space="0"/>
            </w:tcBorders>
            <w:shd w:val="clear" w:color="auto" w:fill="FFFFFF"/>
            <w:noWrap/>
            <w:vAlign w:val="center"/>
          </w:tcPr>
          <w:p w14:paraId="46C004A0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5.73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33123572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5.56 to 5.89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052" w:type="dxa"/>
            <w:tcBorders>
              <w:bottom w:val="single" w:color="000000" w:sz="12" w:space="0"/>
            </w:tcBorders>
            <w:shd w:val="clear" w:color="auto" w:fill="FFFFFF"/>
            <w:noWrap/>
            <w:vAlign w:val="center"/>
          </w:tcPr>
          <w:p w14:paraId="64893238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6454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1C194EB0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6267 to 66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</w:tr>
    </w:tbl>
    <w:p w14:paraId="37DCF0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 w:val="0"/>
          <w:color w:val="000000"/>
          <w:sz w:val="22"/>
          <w:szCs w:val="22"/>
          <w:lang w:val="en-US" w:eastAsia="zh-CN"/>
        </w:rPr>
      </w:pPr>
    </w:p>
    <w:p w14:paraId="25B615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757D89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159873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43E6E4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1245B6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4741B7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124F45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08455B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6C06FF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48989F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6015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20D7B46F">
      <w:pPr>
        <w:spacing w:line="220" w:lineRule="atLeast"/>
        <w:rPr>
          <w:rFonts w:hint="default" w:ascii="Times New Roman" w:hAnsi="Times New Roman"/>
          <w:sz w:val="24"/>
          <w:szCs w:val="32"/>
          <w:lang w:val="en-US" w:eastAsia="zh-CN"/>
        </w:rPr>
      </w:pPr>
      <w:bookmarkStart w:id="10" w:name="_Hlk105158587"/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bookmarkEnd w:id="10"/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S2.</w:t>
      </w:r>
      <w:r>
        <w:rPr>
          <w:rFonts w:hint="eastAsia" w:ascii="Times New Roman" w:hAnsi="Times New Roman"/>
          <w:b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color w:val="000000"/>
          <w:sz w:val="22"/>
          <w:szCs w:val="22"/>
          <w:lang w:val="en-US" w:eastAsia="zh-CN"/>
        </w:rPr>
        <w:t>The attributable fraction</w:t>
      </w:r>
      <w:r>
        <w:rPr>
          <w:rFonts w:hint="eastAsia" w:ascii="Times New Roman" w:hAnsi="Times New Roman" w:cs="Times New Roman"/>
          <w:b w:val="0"/>
          <w:color w:val="000000"/>
          <w:sz w:val="22"/>
          <w:szCs w:val="22"/>
          <w:lang w:val="en-US" w:eastAsia="zh-CN"/>
        </w:rPr>
        <w:t xml:space="preserve"> and</w:t>
      </w:r>
      <w:r>
        <w:rPr>
          <w:rFonts w:hint="eastAsia" w:ascii="Times New Roman" w:hAnsi="Times New Roman" w:eastAsia="宋体" w:cs="Times New Roman"/>
          <w:b w:val="0"/>
          <w:color w:val="000000"/>
          <w:sz w:val="22"/>
          <w:szCs w:val="22"/>
          <w:lang w:val="en-US" w:eastAsia="zh-CN"/>
        </w:rPr>
        <w:t xml:space="preserve"> attributable number</w:t>
      </w:r>
      <w:r>
        <w:rPr>
          <w:rFonts w:hint="eastAsia" w:ascii="Times New Roman" w:hAnsi="Times New Roman" w:cs="Times New Roman"/>
          <w:b w:val="0"/>
          <w:color w:val="000000"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color w:val="000000"/>
          <w:sz w:val="22"/>
          <w:szCs w:val="22"/>
          <w:lang w:val="en-US" w:eastAsia="zh-CN"/>
        </w:rPr>
        <w:t>of COPD hospitalization related to PM pollution</w:t>
      </w:r>
      <w:r>
        <w:rPr>
          <w:rFonts w:hint="eastAsia" w:ascii="Times New Roman" w:hAnsi="Times New Roman" w:cs="Times New Roman"/>
          <w:b w:val="0"/>
          <w:color w:val="000000"/>
          <w:sz w:val="22"/>
          <w:szCs w:val="22"/>
          <w:lang w:val="en-US" w:eastAsia="zh-CN"/>
        </w:rPr>
        <w:t>,</w:t>
      </w:r>
      <w:r>
        <w:rPr>
          <w:rFonts w:hint="eastAsia" w:ascii="Times New Roman" w:hAnsi="Times New Roman" w:eastAsia="宋体" w:cs="Times New Roman"/>
          <w:b w:val="0"/>
          <w:color w:val="000000"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color w:val="000000"/>
          <w:sz w:val="22"/>
          <w:szCs w:val="22"/>
          <w:lang w:val="en-US" w:eastAsia="zh-CN"/>
        </w:rPr>
        <w:t>in Gansu Province</w:t>
      </w:r>
      <w:r>
        <w:rPr>
          <w:rFonts w:hint="eastAsia" w:ascii="Times New Roman" w:hAnsi="Times New Roman" w:eastAsia="宋体" w:cs="Times New Roman"/>
          <w:b w:val="0"/>
          <w:color w:val="000000"/>
          <w:sz w:val="22"/>
          <w:szCs w:val="22"/>
          <w:lang w:val="en-US" w:eastAsia="zh-CN"/>
        </w:rPr>
        <w:t xml:space="preserve"> and </w:t>
      </w:r>
      <w:r>
        <w:rPr>
          <w:rFonts w:hint="eastAsia" w:ascii="Times New Roman" w:hAnsi="Times New Roman" w:cs="Times New Roman"/>
          <w:b w:val="0"/>
          <w:color w:val="000000"/>
          <w:sz w:val="22"/>
          <w:szCs w:val="22"/>
          <w:lang w:val="en-US" w:eastAsia="zh-CN"/>
        </w:rPr>
        <w:t>cities</w:t>
      </w:r>
      <w:r>
        <w:rPr>
          <w:rFonts w:hint="eastAsia" w:ascii="Times New Roman" w:hAnsi="Times New Roman" w:eastAsia="宋体" w:cs="Times New Roman"/>
          <w:b w:val="0"/>
          <w:color w:val="000000"/>
          <w:sz w:val="22"/>
          <w:szCs w:val="22"/>
          <w:lang w:val="en-US" w:eastAsia="zh-CN"/>
        </w:rPr>
        <w:t>,</w:t>
      </w:r>
      <w:r>
        <w:rPr>
          <w:rFonts w:hint="eastAsia" w:ascii="Times New Roman" w:hAnsi="Times New Roman" w:cs="Times New Roman"/>
          <w:b w:val="0"/>
          <w:color w:val="000000"/>
          <w:sz w:val="22"/>
          <w:szCs w:val="22"/>
          <w:lang w:val="en-US" w:eastAsia="zh-CN"/>
        </w:rPr>
        <w:t xml:space="preserve"> 2018</w:t>
      </w:r>
      <w:r>
        <w:rPr>
          <w:rFonts w:hint="default" w:cs="Calibri" w:asciiTheme="minorAscii" w:hAnsiTheme="minorAscii"/>
          <w:sz w:val="20"/>
          <w:szCs w:val="20"/>
        </w:rPr>
        <w:t>–</w:t>
      </w:r>
      <w:r>
        <w:rPr>
          <w:rFonts w:hint="eastAsia" w:ascii="Times New Roman" w:hAnsi="Times New Roman" w:cs="Times New Roman"/>
          <w:b w:val="0"/>
          <w:color w:val="000000"/>
          <w:sz w:val="22"/>
          <w:szCs w:val="22"/>
          <w:lang w:val="en-US" w:eastAsia="zh-CN"/>
        </w:rPr>
        <w:t>2022</w:t>
      </w:r>
    </w:p>
    <w:tbl>
      <w:tblPr>
        <w:tblStyle w:val="5"/>
        <w:tblW w:w="4861" w:type="pct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6"/>
        <w:gridCol w:w="2027"/>
        <w:gridCol w:w="2114"/>
        <w:gridCol w:w="2036"/>
        <w:gridCol w:w="1931"/>
        <w:gridCol w:w="2027"/>
        <w:gridCol w:w="2030"/>
      </w:tblGrid>
      <w:tr w14:paraId="40E2D90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586" w:type="pct"/>
            <w:vMerge w:val="restart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 w14:paraId="7BB720DF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City (Prefecture)</w:t>
            </w:r>
          </w:p>
        </w:tc>
        <w:tc>
          <w:tcPr>
            <w:tcW w:w="1502" w:type="pct"/>
            <w:gridSpan w:val="2"/>
            <w:tcBorders>
              <w:top w:val="single" w:color="000000" w:sz="12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1C790455">
            <w:pPr>
              <w:jc w:val="center"/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PM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 w:eastAsia="zh-CN"/>
              </w:rPr>
              <w:t>2.5</w:t>
            </w:r>
          </w:p>
        </w:tc>
        <w:tc>
          <w:tcPr>
            <w:tcW w:w="1439" w:type="pct"/>
            <w:gridSpan w:val="2"/>
            <w:tcBorders>
              <w:top w:val="single" w:color="000000" w:sz="12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52C2BFC0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PM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 w:eastAsia="zh-CN"/>
              </w:rPr>
              <w:t>2.5-10</w:t>
            </w:r>
          </w:p>
        </w:tc>
        <w:tc>
          <w:tcPr>
            <w:tcW w:w="1471" w:type="pct"/>
            <w:gridSpan w:val="2"/>
            <w:tcBorders>
              <w:top w:val="single" w:color="000000" w:sz="12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7C8957BC">
            <w:pPr>
              <w:jc w:val="center"/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PM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 w:eastAsia="zh-CN"/>
              </w:rPr>
              <w:t>10</w:t>
            </w:r>
          </w:p>
        </w:tc>
      </w:tr>
      <w:tr w14:paraId="6C399E4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586" w:type="pct"/>
            <w:vMerge w:val="continue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08AF39BB">
            <w:pPr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735" w:type="pct"/>
            <w:tcBorders>
              <w:top w:val="single" w:color="000000" w:sz="4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0A4B394C"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Attributable fraction in % (95%</w:t>
            </w: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sz w:val="20"/>
                <w:szCs w:val="20"/>
                <w:lang w:val="en-US" w:eastAsia="zh-CN"/>
              </w:rPr>
              <w:t xml:space="preserve"> CI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766" w:type="pct"/>
            <w:tcBorders>
              <w:top w:val="single" w:color="000000" w:sz="4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5A336CA6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Attributable number </w:t>
            </w:r>
          </w:p>
          <w:p w14:paraId="3A1C1E17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738" w:type="pct"/>
            <w:tcBorders>
              <w:top w:val="single" w:color="000000" w:sz="4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06DBE22C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Attributable fraction in % (95% </w:t>
            </w: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700" w:type="pct"/>
            <w:tcBorders>
              <w:top w:val="single" w:color="000000" w:sz="4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55E63CD8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Attributable number </w:t>
            </w:r>
          </w:p>
          <w:p w14:paraId="2B4F8EAF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(95%</w:t>
            </w: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sz w:val="20"/>
                <w:szCs w:val="20"/>
                <w:lang w:val="en-US" w:eastAsia="zh-CN"/>
              </w:rPr>
              <w:t xml:space="preserve"> CI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735" w:type="pct"/>
            <w:tcBorders>
              <w:top w:val="single" w:color="000000" w:sz="4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0DE3A411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Attributable fraction in % </w:t>
            </w:r>
          </w:p>
          <w:p w14:paraId="6029B751"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736" w:type="pct"/>
            <w:tcBorders>
              <w:top w:val="single" w:color="000000" w:sz="4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3A8CF1A7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Attributable number </w:t>
            </w:r>
          </w:p>
          <w:p w14:paraId="140E0320"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)</w:t>
            </w:r>
          </w:p>
        </w:tc>
      </w:tr>
      <w:tr w14:paraId="2C2DBC6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586" w:type="pct"/>
            <w:shd w:val="clear" w:color="auto" w:fill="auto"/>
            <w:vAlign w:val="center"/>
          </w:tcPr>
          <w:p w14:paraId="353CD919">
            <w:pPr>
              <w:jc w:val="center"/>
              <w:rPr>
                <w:rFonts w:hint="eastAsia" w:ascii="Times New Roman" w:hAnsi="Times New Roman" w:cs="Times New Roman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highlight w:val="none"/>
                <w:lang w:val="en-US" w:eastAsia="zh-CN"/>
              </w:rPr>
              <w:t>Lanzhou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2DC021C2">
            <w:pPr>
              <w:jc w:val="center"/>
              <w:rPr>
                <w:rFonts w:hint="eastAsia" w:ascii="Times New Roman" w:hAnsi="Times New Roman" w:eastAsia="宋体" w:cs="Times New Roman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7.14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6.84 to 7.44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66" w:type="pct"/>
            <w:shd w:val="clear" w:color="auto" w:fill="auto"/>
            <w:noWrap/>
            <w:vAlign w:val="center"/>
          </w:tcPr>
          <w:p w14:paraId="6FE03290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2023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1937 to 2108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14:paraId="0CA1BC86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2.38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2.11 to 2.66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00" w:type="pct"/>
            <w:shd w:val="clear" w:color="auto" w:fill="auto"/>
            <w:noWrap/>
            <w:vAlign w:val="center"/>
          </w:tcPr>
          <w:p w14:paraId="516F13BE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675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597 to 753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3D27C6D1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3.28 (3.00 to 3.56)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14:paraId="4E13D941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928 (848 to 1008)</w:t>
            </w:r>
          </w:p>
        </w:tc>
      </w:tr>
      <w:tr w14:paraId="6228ECA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586" w:type="pct"/>
            <w:shd w:val="clear" w:color="auto" w:fill="auto"/>
            <w:vAlign w:val="center"/>
          </w:tcPr>
          <w:p w14:paraId="131AFC13">
            <w:pPr>
              <w:jc w:val="center"/>
              <w:rPr>
                <w:rFonts w:hint="eastAsia" w:ascii="Times New Roman" w:hAnsi="Times New Roman" w:cs="Times New Roman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highlight w:val="none"/>
                <w:lang w:val="en-US" w:eastAsia="zh-CN"/>
              </w:rPr>
              <w:t>Dingxi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6BE33768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3.21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3.11 to 3.31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66" w:type="pct"/>
            <w:shd w:val="clear" w:color="auto" w:fill="auto"/>
            <w:noWrap/>
            <w:vAlign w:val="center"/>
          </w:tcPr>
          <w:p w14:paraId="6937A939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652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632 to 672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14:paraId="08B6A73C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0.83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0.77 to 0.89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00" w:type="pct"/>
            <w:shd w:val="clear" w:color="auto" w:fill="auto"/>
            <w:noWrap/>
            <w:vAlign w:val="center"/>
          </w:tcPr>
          <w:p w14:paraId="3A423566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169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157 to 180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13D98E10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1.27 (1.21 to 1.34)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14:paraId="4FD2324B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259 (246 to 272)</w:t>
            </w:r>
          </w:p>
        </w:tc>
      </w:tr>
      <w:tr w14:paraId="631C68E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586" w:type="pct"/>
            <w:shd w:val="clear" w:color="auto" w:fill="auto"/>
            <w:vAlign w:val="center"/>
          </w:tcPr>
          <w:p w14:paraId="11F677EF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highlight w:val="none"/>
                <w:lang w:val="en-US" w:eastAsia="zh-CN" w:bidi="ar-SA"/>
              </w:rPr>
              <w:t>Linxia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3B86E62D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2.41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2.32 to 2.49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66" w:type="pct"/>
            <w:shd w:val="clear" w:color="auto" w:fill="auto"/>
            <w:noWrap/>
            <w:vAlign w:val="center"/>
          </w:tcPr>
          <w:p w14:paraId="2C49B21F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601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579 to 622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14:paraId="1B10BBEA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0.76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0.69 to 0.84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00" w:type="pct"/>
            <w:shd w:val="clear" w:color="auto" w:fill="auto"/>
            <w:noWrap/>
            <w:vAlign w:val="center"/>
          </w:tcPr>
          <w:p w14:paraId="7FCAB483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191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172 to 209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74333BB8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1.26 (1.18 to 1.35)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14:paraId="7D0845F5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315 (294 to 336)</w:t>
            </w:r>
          </w:p>
        </w:tc>
      </w:tr>
      <w:tr w14:paraId="5227A10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586" w:type="pct"/>
            <w:shd w:val="clear" w:color="auto" w:fill="auto"/>
            <w:vAlign w:val="center"/>
          </w:tcPr>
          <w:p w14:paraId="0267D46A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highlight w:val="none"/>
                <w:lang w:val="en-US" w:eastAsia="zh-CN"/>
              </w:rPr>
              <w:t>Baiyin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2914BAB7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5.28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4.93 to 5.62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66" w:type="pct"/>
            <w:shd w:val="clear" w:color="auto" w:fill="auto"/>
            <w:noWrap/>
            <w:vAlign w:val="center"/>
          </w:tcPr>
          <w:p w14:paraId="1CDEDF9C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851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796 to 906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14:paraId="713DE5D9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3.16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2.80 to 3.51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00" w:type="pct"/>
            <w:shd w:val="clear" w:color="auto" w:fill="auto"/>
            <w:noWrap/>
            <w:vAlign w:val="center"/>
          </w:tcPr>
          <w:p w14:paraId="32BCE022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509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452 to 567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0FBDB1AE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3.85 (3.49 to 4.21)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14:paraId="342FC892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621 (563 to 680)</w:t>
            </w:r>
          </w:p>
        </w:tc>
      </w:tr>
      <w:tr w14:paraId="354AA6C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586" w:type="pct"/>
            <w:shd w:val="clear" w:color="auto" w:fill="auto"/>
            <w:vAlign w:val="center"/>
          </w:tcPr>
          <w:p w14:paraId="655A2C5E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Wuwei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141D4C6F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1.83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1.74 to 1.92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66" w:type="pct"/>
            <w:shd w:val="clear" w:color="auto" w:fill="auto"/>
            <w:noWrap/>
            <w:vAlign w:val="center"/>
          </w:tcPr>
          <w:p w14:paraId="633C66F3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513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488 to 538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14:paraId="17913906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1.02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0.89 to 1.14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00" w:type="pct"/>
            <w:shd w:val="clear" w:color="auto" w:fill="auto"/>
            <w:noWrap/>
            <w:vAlign w:val="center"/>
          </w:tcPr>
          <w:p w14:paraId="166064E6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284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249 to 320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0BDB43B8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1.25 (1.13 to 1.37)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14:paraId="40B974C5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350 (317 to 384)</w:t>
            </w:r>
          </w:p>
        </w:tc>
      </w:tr>
      <w:tr w14:paraId="6134B53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586" w:type="pct"/>
            <w:tcBorders>
              <w:bottom w:val="nil"/>
            </w:tcBorders>
            <w:shd w:val="clear" w:color="auto" w:fill="auto"/>
            <w:vAlign w:val="center"/>
          </w:tcPr>
          <w:p w14:paraId="18F25079"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Zhangye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33E5A64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3.10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2.92 to 3.27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66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4928E3D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1254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1184 to 1323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8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1933C7D7"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1.60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1.43 to 1.76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00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32DA4F07"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647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580 to 713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65AE46CE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2.10 (1.93 to 2.28)</w:t>
            </w:r>
          </w:p>
        </w:tc>
        <w:tc>
          <w:tcPr>
            <w:tcW w:w="736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5479C672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852 (781 to 922)</w:t>
            </w:r>
          </w:p>
        </w:tc>
      </w:tr>
      <w:tr w14:paraId="6BE1943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58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CF5885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highlight w:val="none"/>
                <w:lang w:val="en-US" w:eastAsia="zh-CN"/>
              </w:rPr>
              <w:t>Jiuquan</w:t>
            </w:r>
          </w:p>
        </w:tc>
        <w:tc>
          <w:tcPr>
            <w:tcW w:w="7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45228EE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3.47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3.28 to 3.65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119054A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973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920 to 1025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BBC476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1.10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1.03 to 1.18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1B0C143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309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289 to 330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9812A3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2.22 (2.09 to 2.35)</w:t>
            </w:r>
          </w:p>
        </w:tc>
        <w:tc>
          <w:tcPr>
            <w:tcW w:w="7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423899E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624 (588 to 660)</w:t>
            </w:r>
          </w:p>
        </w:tc>
      </w:tr>
      <w:tr w14:paraId="2C666CD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58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A059EF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highlight w:val="none"/>
                <w:lang w:val="en-US" w:eastAsia="zh-CN"/>
              </w:rPr>
              <w:t>Jinchang</w:t>
            </w:r>
          </w:p>
        </w:tc>
        <w:tc>
          <w:tcPr>
            <w:tcW w:w="7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CC91673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4.44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4.05 to 4.82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1599466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249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227 to 270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4E95489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3.23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2.80 to 3.65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2A3989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181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157 to 204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3D489B1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3.52 (3.10 to 3.94)</w:t>
            </w:r>
          </w:p>
        </w:tc>
        <w:tc>
          <w:tcPr>
            <w:tcW w:w="7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49B9CDB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197 (174 to 221)</w:t>
            </w:r>
          </w:p>
        </w:tc>
      </w:tr>
      <w:tr w14:paraId="75AA510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58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998F0B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highlight w:val="none"/>
                <w:lang w:val="en-US" w:eastAsia="zh-CN" w:bidi="ar-SA"/>
              </w:rPr>
              <w:t>Jiayuguan</w:t>
            </w:r>
          </w:p>
        </w:tc>
        <w:tc>
          <w:tcPr>
            <w:tcW w:w="7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FC07A10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3.48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3.22 to 3.74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126EA57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214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198 to 230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D526557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2.80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2.59 to 3.01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38E0CFF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172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159 to 185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CCE9F02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3.36 (3.12 to 3.60)</w:t>
            </w:r>
          </w:p>
        </w:tc>
        <w:tc>
          <w:tcPr>
            <w:tcW w:w="7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E5D58AD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206 (192 to 221)</w:t>
            </w:r>
          </w:p>
        </w:tc>
      </w:tr>
      <w:tr w14:paraId="523DD3F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58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A71C2F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Tianshui</w:t>
            </w:r>
          </w:p>
        </w:tc>
        <w:tc>
          <w:tcPr>
            <w:tcW w:w="7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EE3F1E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6.99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6.78 to 7.21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44BEBF6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909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881 to 937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6DFD594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-0.07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-0.08 to -0.07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2583FD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-10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-10 to -9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94E2596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2.31 (2.24 to 2.38)</w:t>
            </w:r>
          </w:p>
        </w:tc>
        <w:tc>
          <w:tcPr>
            <w:tcW w:w="7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57B6AEE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300 (291 to 310)</w:t>
            </w:r>
          </w:p>
        </w:tc>
      </w:tr>
      <w:tr w14:paraId="4B41572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58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9764D2"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highlight w:val="none"/>
                <w:lang w:val="en-US" w:eastAsia="zh-CN"/>
              </w:rPr>
              <w:t>Longnan</w:t>
            </w:r>
          </w:p>
        </w:tc>
        <w:tc>
          <w:tcPr>
            <w:tcW w:w="7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48CA4A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14.08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13.62 to 14.53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1D413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1181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1082 to 1154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1221FB"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0.19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0.18 to 0.20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D6255C0"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14 to 15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7BC5D9F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5.81 (5.63 to 5.98)</w:t>
            </w:r>
          </w:p>
        </w:tc>
        <w:tc>
          <w:tcPr>
            <w:tcW w:w="7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A62DA2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461 (447 to 475)</w:t>
            </w:r>
          </w:p>
        </w:tc>
      </w:tr>
      <w:tr w14:paraId="1668F9C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58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F05D86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highlight w:val="none"/>
                <w:lang w:val="en-US" w:eastAsia="zh-CN"/>
              </w:rPr>
              <w:t>Gannan</w:t>
            </w:r>
          </w:p>
        </w:tc>
        <w:tc>
          <w:tcPr>
            <w:tcW w:w="7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E480943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-1.47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-1.51 to -1.43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BCC22F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-68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-69 to -66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FEF4B57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-0.84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-0.88 to -0.80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A21F39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-38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-40 to -37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A00AA9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-1.12 (-1.16 to -1.08)</w:t>
            </w:r>
          </w:p>
        </w:tc>
        <w:tc>
          <w:tcPr>
            <w:tcW w:w="7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FA3927E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-52 (-53 to -50)</w:t>
            </w:r>
          </w:p>
        </w:tc>
      </w:tr>
      <w:tr w14:paraId="12D707C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58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8B100F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highlight w:val="none"/>
                <w:lang w:val="en-US" w:eastAsia="zh-CN"/>
              </w:rPr>
              <w:t>Qingyang</w:t>
            </w:r>
          </w:p>
        </w:tc>
        <w:tc>
          <w:tcPr>
            <w:tcW w:w="7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DC5047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-1.33 (-1.37 to -1.29)</w:t>
            </w:r>
          </w:p>
        </w:tc>
        <w:tc>
          <w:tcPr>
            <w:tcW w:w="7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7BB2FB1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-109 (-113 to -106)</w:t>
            </w:r>
          </w:p>
        </w:tc>
        <w:tc>
          <w:tcPr>
            <w:tcW w:w="7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02B386E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-0.48 (-0.50 to -0.45)</w:t>
            </w:r>
          </w:p>
        </w:tc>
        <w:tc>
          <w:tcPr>
            <w:tcW w:w="70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5DA313A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-97 (-101 to -92)</w:t>
            </w:r>
          </w:p>
        </w:tc>
        <w:tc>
          <w:tcPr>
            <w:tcW w:w="7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F3468AE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-0.55(-0.57 to -0.53)</w:t>
            </w:r>
          </w:p>
        </w:tc>
        <w:tc>
          <w:tcPr>
            <w:tcW w:w="7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76DAB76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-45(-47 to -44)</w:t>
            </w:r>
          </w:p>
        </w:tc>
      </w:tr>
      <w:tr w14:paraId="19A8352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586" w:type="pct"/>
            <w:tcBorders>
              <w:top w:val="nil"/>
              <w:bottom w:val="single" w:color="auto" w:sz="12" w:space="0"/>
            </w:tcBorders>
            <w:shd w:val="clear" w:color="auto" w:fill="auto"/>
            <w:vAlign w:val="center"/>
          </w:tcPr>
          <w:p w14:paraId="5B810620"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  <w:highlight w:val="none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highlight w:val="none"/>
                <w:lang w:val="en-US" w:eastAsia="zh-CN" w:bidi="ar-SA"/>
              </w:rPr>
              <w:t>Pingliang</w:t>
            </w:r>
          </w:p>
        </w:tc>
        <w:tc>
          <w:tcPr>
            <w:tcW w:w="735" w:type="pct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0E035C4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0.63 (0.61 to 0.64)</w:t>
            </w:r>
          </w:p>
        </w:tc>
        <w:tc>
          <w:tcPr>
            <w:tcW w:w="766" w:type="pct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4616CF4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46 (45 to 48)</w:t>
            </w:r>
          </w:p>
        </w:tc>
        <w:tc>
          <w:tcPr>
            <w:tcW w:w="738" w:type="pct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41764B87"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0.21 (0.19 to 0.22)</w:t>
            </w:r>
          </w:p>
        </w:tc>
        <w:tc>
          <w:tcPr>
            <w:tcW w:w="700" w:type="pct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7468F9DD"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44 (42 to 46)</w:t>
            </w:r>
          </w:p>
        </w:tc>
        <w:tc>
          <w:tcPr>
            <w:tcW w:w="735" w:type="pct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6C0D5034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0.25(0.24 to 0.26)</w:t>
            </w:r>
          </w:p>
        </w:tc>
        <w:tc>
          <w:tcPr>
            <w:tcW w:w="736" w:type="pct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780CCB3F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18(18 to 19)</w:t>
            </w:r>
          </w:p>
        </w:tc>
      </w:tr>
    </w:tbl>
    <w:p w14:paraId="56D3EBB6">
      <w:pPr>
        <w:numPr>
          <w:ilvl w:val="0"/>
          <w:numId w:val="0"/>
        </w:numPr>
        <w:spacing w:before="120" w:after="120"/>
        <w:ind w:leftChars="0"/>
        <w:jc w:val="both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4FCECF32">
      <w:pPr>
        <w:numPr>
          <w:ilvl w:val="0"/>
          <w:numId w:val="0"/>
        </w:numPr>
        <w:spacing w:before="120" w:after="120"/>
        <w:ind w:leftChars="0"/>
        <w:jc w:val="both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4B5A8341">
      <w:pPr>
        <w:numPr>
          <w:ilvl w:val="0"/>
          <w:numId w:val="0"/>
        </w:numPr>
        <w:spacing w:before="120" w:after="120"/>
        <w:ind w:leftChars="0"/>
        <w:jc w:val="both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581F911C">
      <w:pPr>
        <w:numPr>
          <w:ilvl w:val="0"/>
          <w:numId w:val="0"/>
        </w:numPr>
        <w:spacing w:before="120" w:after="120"/>
        <w:ind w:leftChars="0"/>
        <w:jc w:val="both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22F9ED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/>
          <w:sz w:val="24"/>
          <w:szCs w:val="32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S3 </w:t>
      </w:r>
      <w:r>
        <w:rPr>
          <w:rFonts w:hint="eastAsia" w:ascii="Times New Roman" w:hAnsi="Times New Roman" w:eastAsia="宋体" w:cs="Times New Roman"/>
          <w:b w:val="0"/>
          <w:color w:val="000000"/>
          <w:sz w:val="22"/>
          <w:szCs w:val="22"/>
          <w:lang w:val="en-US" w:eastAsia="zh-CN"/>
        </w:rPr>
        <w:t>The attributable fraction</w:t>
      </w:r>
      <w:r>
        <w:rPr>
          <w:rFonts w:hint="eastAsia" w:ascii="Times New Roman" w:hAnsi="Times New Roman" w:cs="Times New Roman"/>
          <w:b w:val="0"/>
          <w:color w:val="000000"/>
          <w:sz w:val="22"/>
          <w:szCs w:val="22"/>
          <w:lang w:val="en-US" w:eastAsia="zh-CN"/>
        </w:rPr>
        <w:t xml:space="preserve"> and</w:t>
      </w:r>
      <w:r>
        <w:rPr>
          <w:rFonts w:hint="eastAsia" w:ascii="Times New Roman" w:hAnsi="Times New Roman" w:eastAsia="宋体" w:cs="Times New Roman"/>
          <w:b w:val="0"/>
          <w:color w:val="000000"/>
          <w:sz w:val="22"/>
          <w:szCs w:val="22"/>
          <w:lang w:val="en-US" w:eastAsia="zh-CN"/>
        </w:rPr>
        <w:t xml:space="preserve"> attributable number</w:t>
      </w:r>
      <w:r>
        <w:rPr>
          <w:rFonts w:hint="eastAsia" w:ascii="Times New Roman" w:hAnsi="Times New Roman" w:cs="Times New Roman"/>
          <w:b w:val="0"/>
          <w:color w:val="000000"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color w:val="000000"/>
          <w:sz w:val="22"/>
          <w:szCs w:val="22"/>
          <w:lang w:val="en-US" w:eastAsia="zh-CN"/>
        </w:rPr>
        <w:t>of COPD hospitalization related to</w:t>
      </w:r>
      <w:r>
        <w:rPr>
          <w:rFonts w:hint="eastAsia" w:ascii="Times New Roman" w:hAnsi="Times New Roman" w:cs="Times New Roman"/>
          <w:b w:val="0"/>
          <w:color w:val="000000"/>
          <w:sz w:val="22"/>
          <w:szCs w:val="22"/>
          <w:lang w:val="en-US" w:eastAsia="zh-CN"/>
        </w:rPr>
        <w:t xml:space="preserve"> SDS</w:t>
      </w:r>
      <w:r>
        <w:rPr>
          <w:rFonts w:hint="eastAsia" w:ascii="Times New Roman" w:hAnsi="Times New Roman" w:eastAsia="宋体" w:cs="Times New Roman"/>
          <w:b w:val="0"/>
          <w:color w:val="000000"/>
          <w:sz w:val="22"/>
          <w:szCs w:val="22"/>
          <w:lang w:val="en-US" w:eastAsia="zh-CN"/>
        </w:rPr>
        <w:t xml:space="preserve"> PM pollution</w:t>
      </w:r>
      <w:r>
        <w:rPr>
          <w:rFonts w:hint="eastAsia" w:ascii="Times New Roman" w:hAnsi="Times New Roman" w:cs="Times New Roman"/>
          <w:b w:val="0"/>
          <w:color w:val="000000"/>
          <w:sz w:val="22"/>
          <w:szCs w:val="22"/>
          <w:lang w:val="en-US" w:eastAsia="zh-CN"/>
        </w:rPr>
        <w:t>,</w:t>
      </w:r>
      <w:r>
        <w:rPr>
          <w:rFonts w:hint="eastAsia" w:ascii="Times New Roman" w:hAnsi="Times New Roman" w:eastAsia="宋体" w:cs="Times New Roman"/>
          <w:b w:val="0"/>
          <w:color w:val="000000"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color w:val="000000"/>
          <w:sz w:val="22"/>
          <w:szCs w:val="22"/>
          <w:lang w:val="en-US" w:eastAsia="zh-CN"/>
        </w:rPr>
        <w:t>in Gansu Province</w:t>
      </w:r>
      <w:r>
        <w:rPr>
          <w:rFonts w:hint="eastAsia" w:ascii="Times New Roman" w:hAnsi="Times New Roman" w:eastAsia="宋体" w:cs="Times New Roman"/>
          <w:b w:val="0"/>
          <w:color w:val="000000"/>
          <w:sz w:val="22"/>
          <w:szCs w:val="22"/>
          <w:lang w:val="en-US" w:eastAsia="zh-CN"/>
        </w:rPr>
        <w:t xml:space="preserve"> and </w:t>
      </w:r>
      <w:r>
        <w:rPr>
          <w:rFonts w:hint="eastAsia" w:ascii="Times New Roman" w:hAnsi="Times New Roman" w:cs="Times New Roman"/>
          <w:b w:val="0"/>
          <w:color w:val="000000"/>
          <w:sz w:val="22"/>
          <w:szCs w:val="22"/>
          <w:lang w:val="en-US" w:eastAsia="zh-CN"/>
        </w:rPr>
        <w:t>cities</w:t>
      </w:r>
      <w:r>
        <w:rPr>
          <w:rFonts w:hint="eastAsia" w:ascii="Times New Roman" w:hAnsi="Times New Roman" w:eastAsia="宋体" w:cs="Times New Roman"/>
          <w:b w:val="0"/>
          <w:color w:val="000000"/>
          <w:sz w:val="22"/>
          <w:szCs w:val="22"/>
          <w:lang w:val="en-US" w:eastAsia="zh-CN"/>
        </w:rPr>
        <w:t>,</w:t>
      </w:r>
      <w:r>
        <w:rPr>
          <w:rFonts w:hint="eastAsia" w:ascii="Times New Roman" w:hAnsi="Times New Roman" w:cs="Times New Roman"/>
          <w:b w:val="0"/>
          <w:color w:val="000000"/>
          <w:sz w:val="22"/>
          <w:szCs w:val="22"/>
          <w:lang w:val="en-US" w:eastAsia="zh-CN"/>
        </w:rPr>
        <w:t xml:space="preserve"> 2018</w:t>
      </w:r>
      <w:r>
        <w:rPr>
          <w:rFonts w:hint="default" w:cs="Calibri" w:asciiTheme="minorAscii" w:hAnsiTheme="minorAscii"/>
          <w:sz w:val="20"/>
          <w:szCs w:val="20"/>
        </w:rPr>
        <w:t>–</w:t>
      </w:r>
      <w:r>
        <w:rPr>
          <w:rFonts w:hint="eastAsia" w:ascii="Times New Roman" w:hAnsi="Times New Roman" w:cs="Times New Roman"/>
          <w:b w:val="0"/>
          <w:color w:val="000000"/>
          <w:sz w:val="22"/>
          <w:szCs w:val="22"/>
          <w:lang w:val="en-US" w:eastAsia="zh-CN"/>
        </w:rPr>
        <w:t>2022.</w:t>
      </w:r>
    </w:p>
    <w:tbl>
      <w:tblPr>
        <w:tblStyle w:val="5"/>
        <w:tblW w:w="4887" w:type="pct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9"/>
        <w:gridCol w:w="2220"/>
        <w:gridCol w:w="1971"/>
        <w:gridCol w:w="2168"/>
        <w:gridCol w:w="2027"/>
        <w:gridCol w:w="2166"/>
        <w:gridCol w:w="2024"/>
      </w:tblGrid>
      <w:tr w14:paraId="3A06903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44" w:hRule="atLeast"/>
          <w:jc w:val="center"/>
        </w:trPr>
        <w:tc>
          <w:tcPr>
            <w:tcW w:w="461" w:type="pct"/>
            <w:vMerge w:val="restart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 w14:paraId="0A10C615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City (Prefecture)</w:t>
            </w:r>
          </w:p>
        </w:tc>
        <w:tc>
          <w:tcPr>
            <w:tcW w:w="1512" w:type="pct"/>
            <w:gridSpan w:val="2"/>
            <w:tcBorders>
              <w:top w:val="single" w:color="000000" w:sz="12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0859D372">
            <w:pPr>
              <w:jc w:val="center"/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SDS PM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 w:eastAsia="zh-CN"/>
              </w:rPr>
              <w:t>2.5</w:t>
            </w:r>
          </w:p>
        </w:tc>
        <w:tc>
          <w:tcPr>
            <w:tcW w:w="1513" w:type="pct"/>
            <w:gridSpan w:val="2"/>
            <w:tcBorders>
              <w:top w:val="single" w:color="000000" w:sz="12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177D90C7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SDS PM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 w:eastAsia="zh-CN"/>
              </w:rPr>
              <w:t>2.5-10</w:t>
            </w:r>
          </w:p>
        </w:tc>
        <w:tc>
          <w:tcPr>
            <w:tcW w:w="1512" w:type="pct"/>
            <w:gridSpan w:val="2"/>
            <w:tcBorders>
              <w:top w:val="single" w:color="000000" w:sz="12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52EA3C3A">
            <w:pPr>
              <w:jc w:val="center"/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lang w:val="en-US" w:eastAsia="zh-CN"/>
              </w:rPr>
              <w:t>SDS PM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 w:eastAsia="zh-CN"/>
              </w:rPr>
              <w:t>10</w:t>
            </w:r>
          </w:p>
        </w:tc>
      </w:tr>
      <w:tr w14:paraId="307C232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  <w:jc w:val="center"/>
        </w:trPr>
        <w:tc>
          <w:tcPr>
            <w:tcW w:w="461" w:type="pct"/>
            <w:vMerge w:val="continue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4530C1D1">
            <w:pPr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801" w:type="pct"/>
            <w:tcBorders>
              <w:top w:val="single" w:color="000000" w:sz="4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6DC2D524"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Attributable fraction in % (95% </w:t>
            </w: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711" w:type="pct"/>
            <w:tcBorders>
              <w:top w:val="single" w:color="000000" w:sz="4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69FD7701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Attributable number </w:t>
            </w:r>
          </w:p>
          <w:p w14:paraId="0F33183C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782" w:type="pct"/>
            <w:tcBorders>
              <w:top w:val="single" w:color="000000" w:sz="4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13C2F190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Attributable fraction in % (95% </w:t>
            </w: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731" w:type="pct"/>
            <w:tcBorders>
              <w:top w:val="single" w:color="000000" w:sz="4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2E7437EE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Attributable number </w:t>
            </w:r>
          </w:p>
          <w:p w14:paraId="04544E47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781" w:type="pct"/>
            <w:tcBorders>
              <w:top w:val="single" w:color="000000" w:sz="4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641A1857"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Attributable fraction in % (95% </w:t>
            </w: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730" w:type="pct"/>
            <w:tcBorders>
              <w:top w:val="single" w:color="000000" w:sz="4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75C2CDA9">
            <w:pPr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Attributable number </w:t>
            </w:r>
          </w:p>
          <w:p w14:paraId="32D61CCC"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(95% </w:t>
            </w: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sz w:val="20"/>
                <w:szCs w:val="20"/>
                <w:lang w:val="en-US" w:eastAsia="zh-CN"/>
              </w:rPr>
              <w:t>CI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)</w:t>
            </w:r>
          </w:p>
        </w:tc>
      </w:tr>
      <w:tr w14:paraId="13B92EB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461" w:type="pct"/>
            <w:shd w:val="clear" w:color="auto" w:fill="auto"/>
            <w:vAlign w:val="center"/>
          </w:tcPr>
          <w:p w14:paraId="41308F1A">
            <w:pPr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Lanzhou</w:t>
            </w:r>
          </w:p>
        </w:tc>
        <w:tc>
          <w:tcPr>
            <w:tcW w:w="801" w:type="pct"/>
            <w:shd w:val="clear" w:color="auto" w:fill="auto"/>
            <w:noWrap/>
            <w:vAlign w:val="center"/>
          </w:tcPr>
          <w:p w14:paraId="7BFD5799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29.70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17.41 to 38.74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11" w:type="pct"/>
            <w:shd w:val="clear" w:color="auto" w:fill="auto"/>
            <w:noWrap/>
            <w:vAlign w:val="center"/>
          </w:tcPr>
          <w:p w14:paraId="2735EEA3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254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149 to 331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82" w:type="pct"/>
            <w:shd w:val="clear" w:color="auto" w:fill="auto"/>
            <w:noWrap/>
            <w:vAlign w:val="center"/>
          </w:tcPr>
          <w:p w14:paraId="0B9504B5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28.80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11.12 to 40.45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14:paraId="365188C4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246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95 to 346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0E60F745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29.49 (12.27 to 40.91)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14:paraId="208A1148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252 (105 to 350)</w:t>
            </w:r>
          </w:p>
        </w:tc>
      </w:tr>
      <w:tr w14:paraId="5BEE1D7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461" w:type="pct"/>
            <w:shd w:val="clear" w:color="auto" w:fill="auto"/>
            <w:vAlign w:val="center"/>
          </w:tcPr>
          <w:p w14:paraId="097750C8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Dingxi</w:t>
            </w:r>
          </w:p>
        </w:tc>
        <w:tc>
          <w:tcPr>
            <w:tcW w:w="801" w:type="pct"/>
            <w:shd w:val="clear" w:color="auto" w:fill="auto"/>
            <w:noWrap/>
            <w:vAlign w:val="center"/>
          </w:tcPr>
          <w:p w14:paraId="0344E31F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37.89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28.41 to 45.09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11" w:type="pct"/>
            <w:shd w:val="clear" w:color="auto" w:fill="auto"/>
            <w:noWrap/>
            <w:vAlign w:val="center"/>
          </w:tcPr>
          <w:p w14:paraId="575C1C56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133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99 to 158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82" w:type="pct"/>
            <w:shd w:val="clear" w:color="auto" w:fill="auto"/>
            <w:noWrap/>
            <w:vAlign w:val="center"/>
          </w:tcPr>
          <w:p w14:paraId="195F0FFE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31.70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20.73 to 39.92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14:paraId="391E1F59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111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73 to 140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54611028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32.91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22.35 to 40.87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14:paraId="1D213BF4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115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78 to 143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</w:tr>
      <w:tr w14:paraId="236996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461" w:type="pct"/>
            <w:shd w:val="clear" w:color="auto" w:fill="auto"/>
            <w:vAlign w:val="center"/>
          </w:tcPr>
          <w:p w14:paraId="50311091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Linxia</w:t>
            </w:r>
          </w:p>
        </w:tc>
        <w:tc>
          <w:tcPr>
            <w:tcW w:w="801" w:type="pct"/>
            <w:shd w:val="clear" w:color="auto" w:fill="auto"/>
            <w:noWrap/>
            <w:vAlign w:val="center"/>
          </w:tcPr>
          <w:p w14:paraId="118977AA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30.91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18.03 to 40.18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11" w:type="pct"/>
            <w:shd w:val="clear" w:color="auto" w:fill="auto"/>
            <w:noWrap/>
            <w:vAlign w:val="center"/>
          </w:tcPr>
          <w:p w14:paraId="76B783D3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158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92 to 205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82" w:type="pct"/>
            <w:shd w:val="clear" w:color="auto" w:fill="auto"/>
            <w:noWrap/>
            <w:vAlign w:val="center"/>
          </w:tcPr>
          <w:p w14:paraId="2245A49A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24.02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10.13 to 34.08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14:paraId="520B2F84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122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52 to 174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19CFA685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25.43 (11.89 to 35.26)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14:paraId="518D19D4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130 (61 to 180)</w:t>
            </w:r>
          </w:p>
        </w:tc>
      </w:tr>
      <w:tr w14:paraId="3D9376E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461" w:type="pct"/>
            <w:shd w:val="clear" w:color="auto" w:fill="auto"/>
            <w:vAlign w:val="center"/>
          </w:tcPr>
          <w:p w14:paraId="4326DF0F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Baiyin</w:t>
            </w:r>
          </w:p>
        </w:tc>
        <w:tc>
          <w:tcPr>
            <w:tcW w:w="801" w:type="pct"/>
            <w:shd w:val="clear" w:color="auto" w:fill="auto"/>
            <w:noWrap/>
            <w:vAlign w:val="center"/>
          </w:tcPr>
          <w:p w14:paraId="559A42F5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21.01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14.00 to 26.93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11" w:type="pct"/>
            <w:shd w:val="clear" w:color="auto" w:fill="auto"/>
            <w:noWrap/>
            <w:vAlign w:val="center"/>
          </w:tcPr>
          <w:p w14:paraId="1C9C6AA9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154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103 to 198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82" w:type="pct"/>
            <w:shd w:val="clear" w:color="auto" w:fill="auto"/>
            <w:noWrap/>
            <w:vAlign w:val="center"/>
          </w:tcPr>
          <w:p w14:paraId="2FD09AE6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18.76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13.74 to 23.21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14:paraId="146879E1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138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101 to 171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6172C48A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19.96 (14.45 to 24.79)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14:paraId="11A3C794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147 (106 to 182)</w:t>
            </w:r>
          </w:p>
        </w:tc>
      </w:tr>
      <w:tr w14:paraId="606D94E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461" w:type="pct"/>
            <w:shd w:val="clear" w:color="auto" w:fill="auto"/>
            <w:vAlign w:val="center"/>
          </w:tcPr>
          <w:p w14:paraId="55E842AF"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Wuwei</w:t>
            </w:r>
          </w:p>
        </w:tc>
        <w:tc>
          <w:tcPr>
            <w:tcW w:w="801" w:type="pct"/>
            <w:shd w:val="clear" w:color="auto" w:fill="auto"/>
            <w:noWrap/>
            <w:vAlign w:val="center"/>
          </w:tcPr>
          <w:p w14:paraId="3E845A8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10.24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7.73 to 12.61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11" w:type="pct"/>
            <w:shd w:val="clear" w:color="auto" w:fill="auto"/>
            <w:noWrap/>
            <w:vAlign w:val="center"/>
          </w:tcPr>
          <w:p w14:paraId="45C24A0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160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120 to 197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82" w:type="pct"/>
            <w:shd w:val="clear" w:color="auto" w:fill="auto"/>
            <w:noWrap/>
            <w:vAlign w:val="center"/>
          </w:tcPr>
          <w:p w14:paraId="1C27F17A"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9.01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5.72 to 12.08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14:paraId="39505428"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140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89 to 188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2958874C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9.37 (6.21 to 12.32)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14:paraId="298BC301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146 (97 to 192)</w:t>
            </w:r>
          </w:p>
        </w:tc>
      </w:tr>
      <w:tr w14:paraId="23363D1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461" w:type="pct"/>
            <w:tcBorders>
              <w:bottom w:val="nil"/>
            </w:tcBorders>
            <w:shd w:val="clear" w:color="auto" w:fill="auto"/>
            <w:vAlign w:val="center"/>
          </w:tcPr>
          <w:p w14:paraId="5D04E5B6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Zhangye</w:t>
            </w:r>
          </w:p>
        </w:tc>
        <w:tc>
          <w:tcPr>
            <w:tcW w:w="801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1A096847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11.25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8.92 to 13.47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11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76216033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222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176 to 266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82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1C07FA7B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9.11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6.92 to 11.19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1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2301346E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180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137 to 221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81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5E219644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10.01 (7.75 to 12.16)</w:t>
            </w:r>
          </w:p>
        </w:tc>
        <w:tc>
          <w:tcPr>
            <w:tcW w:w="730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4373FF91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198 (153 to 240)</w:t>
            </w:r>
          </w:p>
        </w:tc>
      </w:tr>
      <w:tr w14:paraId="60C5C52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46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B6E513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Jiuquan</w:t>
            </w:r>
          </w:p>
        </w:tc>
        <w:tc>
          <w:tcPr>
            <w:tcW w:w="8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F181BC4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3.41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2.94 to 3.87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1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3961A1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75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65 to 86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8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9FB8EF9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2.81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2.47 to 3.15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E3CF0E1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62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55 to 70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5CA62E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3.11 (2.75 to 3.48)</w:t>
            </w:r>
          </w:p>
        </w:tc>
        <w:tc>
          <w:tcPr>
            <w:tcW w:w="73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BF4604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69 (61 to 77)</w:t>
            </w:r>
          </w:p>
        </w:tc>
      </w:tr>
      <w:tr w14:paraId="589CA2B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46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5AE47AC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Jinchang</w:t>
            </w:r>
          </w:p>
        </w:tc>
        <w:tc>
          <w:tcPr>
            <w:tcW w:w="8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B6457C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20.22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9.89 to 28.40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1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C40664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79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39 to 112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8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76F0C43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22.60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10.97 to 31.48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FAA5A3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89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43 to 124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02E32E7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22.40 (10.98 to 31.18)</w:t>
            </w:r>
          </w:p>
        </w:tc>
        <w:tc>
          <w:tcPr>
            <w:tcW w:w="73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5FB52B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88 (43 to 123)</w:t>
            </w:r>
          </w:p>
        </w:tc>
      </w:tr>
      <w:tr w14:paraId="178A602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46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A5B76C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Jiayuguan</w:t>
            </w:r>
          </w:p>
        </w:tc>
        <w:tc>
          <w:tcPr>
            <w:tcW w:w="8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5375C4B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11.33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9.10 to 13.45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1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7E5A514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51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41 to 61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8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A4A4AA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4.84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4.20 to 5.48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4335F80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22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19 to 25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04FFC43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10.23 (8.82 to 11.59)</w:t>
            </w:r>
          </w:p>
        </w:tc>
        <w:tc>
          <w:tcPr>
            <w:tcW w:w="73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34AE4C1">
            <w:pPr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46 (40 to 53)</w:t>
            </w:r>
          </w:p>
        </w:tc>
      </w:tr>
      <w:tr w14:paraId="32DFE55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46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2A615C"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Tianshui</w:t>
            </w:r>
          </w:p>
        </w:tc>
        <w:tc>
          <w:tcPr>
            <w:tcW w:w="8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A54F79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71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97349E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</w:p>
        </w:tc>
        <w:tc>
          <w:tcPr>
            <w:tcW w:w="78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88930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7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AAC1D4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</w:p>
        </w:tc>
        <w:tc>
          <w:tcPr>
            <w:tcW w:w="7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158364B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73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136DF0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</w:t>
            </w:r>
          </w:p>
        </w:tc>
      </w:tr>
      <w:tr w14:paraId="06703DA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46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215390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Longnan</w:t>
            </w:r>
          </w:p>
        </w:tc>
        <w:tc>
          <w:tcPr>
            <w:tcW w:w="8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A0583C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71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5291C1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78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448DB1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7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A8855FF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-</w:t>
            </w:r>
          </w:p>
        </w:tc>
        <w:tc>
          <w:tcPr>
            <w:tcW w:w="7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7F2AF83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73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E17EE6E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</w:t>
            </w:r>
          </w:p>
        </w:tc>
      </w:tr>
      <w:tr w14:paraId="3A4BF16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46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CD7A17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Gannan</w:t>
            </w:r>
          </w:p>
        </w:tc>
        <w:tc>
          <w:tcPr>
            <w:tcW w:w="8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202B8CA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71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1730CF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78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886861D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-</w:t>
            </w:r>
          </w:p>
        </w:tc>
        <w:tc>
          <w:tcPr>
            <w:tcW w:w="7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43C5CB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7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9293B46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73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02F2369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</w:t>
            </w:r>
          </w:p>
        </w:tc>
      </w:tr>
      <w:tr w14:paraId="42BBE9D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46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429925">
            <w:pPr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Qingyang</w:t>
            </w:r>
          </w:p>
        </w:tc>
        <w:tc>
          <w:tcPr>
            <w:tcW w:w="8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AD4CC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-28.57 (-33.56 to -23.94)</w:t>
            </w:r>
          </w:p>
        </w:tc>
        <w:tc>
          <w:tcPr>
            <w:tcW w:w="71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C27B9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-109 (-113 to -106)</w:t>
            </w:r>
          </w:p>
        </w:tc>
        <w:tc>
          <w:tcPr>
            <w:tcW w:w="78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9F7E5CD"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-3.94 (-4.58 to -3.30)</w:t>
            </w:r>
          </w:p>
        </w:tc>
        <w:tc>
          <w:tcPr>
            <w:tcW w:w="7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EAA88C3"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-15 (-18 to -13)</w:t>
            </w:r>
          </w:p>
        </w:tc>
        <w:tc>
          <w:tcPr>
            <w:tcW w:w="7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8046BF9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-10.88 (-12.62 to -9.19)</w:t>
            </w:r>
          </w:p>
        </w:tc>
        <w:tc>
          <w:tcPr>
            <w:tcW w:w="73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8D94AD7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-42 (-48 to -35)</w:t>
            </w:r>
          </w:p>
        </w:tc>
      </w:tr>
      <w:tr w14:paraId="6C8CE0C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461" w:type="pct"/>
            <w:tcBorders>
              <w:top w:val="nil"/>
              <w:bottom w:val="single" w:color="auto" w:sz="12" w:space="0"/>
            </w:tcBorders>
            <w:shd w:val="clear" w:color="auto" w:fill="auto"/>
            <w:vAlign w:val="center"/>
          </w:tcPr>
          <w:p w14:paraId="5233D981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Pingliang</w:t>
            </w:r>
          </w:p>
        </w:tc>
        <w:tc>
          <w:tcPr>
            <w:tcW w:w="801" w:type="pct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08B9418D">
            <w:pPr>
              <w:jc w:val="center"/>
              <w:rPr>
                <w:rFonts w:hint="default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-11.59 (-13.50 to -9.75)</w:t>
            </w:r>
          </w:p>
        </w:tc>
        <w:tc>
          <w:tcPr>
            <w:tcW w:w="711" w:type="pct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393DD96B">
            <w:pPr>
              <w:jc w:val="center"/>
              <w:rPr>
                <w:rFonts w:hint="default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-49 (-57 to -41)</w:t>
            </w:r>
          </w:p>
        </w:tc>
        <w:tc>
          <w:tcPr>
            <w:tcW w:w="782" w:type="pct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50D1E9A7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3.42 (2.77 to 4.06)</w:t>
            </w:r>
          </w:p>
        </w:tc>
        <w:tc>
          <w:tcPr>
            <w:tcW w:w="731" w:type="pct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195A5F44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14 (12 to 17)</w:t>
            </w:r>
          </w:p>
        </w:tc>
        <w:tc>
          <w:tcPr>
            <w:tcW w:w="2166" w:type="dxa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2738232A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1.70 (1.39 to 2.00)</w:t>
            </w:r>
          </w:p>
        </w:tc>
        <w:tc>
          <w:tcPr>
            <w:tcW w:w="2024" w:type="dxa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54E611DC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7 (6 to 8)</w:t>
            </w:r>
          </w:p>
        </w:tc>
      </w:tr>
    </w:tbl>
    <w:p w14:paraId="66BBEEE7">
      <w:pPr>
        <w:numPr>
          <w:ilvl w:val="0"/>
          <w:numId w:val="0"/>
        </w:numPr>
        <w:spacing w:before="120" w:after="120"/>
        <w:ind w:leftChars="0"/>
        <w:jc w:val="both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bookmarkEnd w:id="8"/>
    <w:p w14:paraId="3EE91C6E">
      <w:pPr>
        <w:numPr>
          <w:ilvl w:val="0"/>
          <w:numId w:val="0"/>
        </w:numPr>
        <w:spacing w:before="120" w:after="120"/>
        <w:jc w:val="both"/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69230" cy="5305425"/>
            <wp:effectExtent l="0" t="0" r="1270" b="3175"/>
            <wp:docPr id="4" name="图片 4" descr="自由度敏感性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自由度敏感性分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444A6">
      <w:pPr>
        <w:spacing w:line="220" w:lineRule="atLeas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Figure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S6.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The e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ffect of 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PM pollutants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on COPD hospitali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z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ation in Gansu Province under different temporal degrees of freedom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.</w:t>
      </w:r>
    </w:p>
    <w:p w14:paraId="475C7B19">
      <w:pPr>
        <w:numPr>
          <w:ilvl w:val="0"/>
          <w:numId w:val="0"/>
        </w:numPr>
        <w:spacing w:before="120" w:after="12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2405" cy="6167755"/>
            <wp:effectExtent l="0" t="0" r="10795" b="4445"/>
            <wp:docPr id="7" name="图片 7" descr="双污染敏感性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双污染敏感性分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D0A84">
      <w:pPr>
        <w:spacing w:line="220" w:lineRule="atLeast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Figure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S7.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The e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ffect of 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air pollutants and meteorological conditions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on COPD hospitali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z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ation in Gansu Province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using PM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 xml:space="preserve">2.5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PM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 xml:space="preserve">2.5-10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and PM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10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dual pollution models.</w:t>
      </w:r>
    </w:p>
    <w:p w14:paraId="1863CC8D"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br w:type="page"/>
      </w:r>
    </w:p>
    <w:p w14:paraId="06117EF1">
      <w:pPr>
        <w:numPr>
          <w:ilvl w:val="0"/>
          <w:numId w:val="0"/>
        </w:numPr>
        <w:spacing w:before="120" w:after="120"/>
        <w:jc w:val="center"/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3373120" cy="3648710"/>
            <wp:effectExtent l="0" t="0" r="5080" b="8890"/>
            <wp:docPr id="8" name="图片 8" descr="相关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相关性1"/>
                    <pic:cNvPicPr>
                      <a:picLocks noChangeAspect="1"/>
                    </pic:cNvPicPr>
                  </pic:nvPicPr>
                  <pic:blipFill>
                    <a:blip r:embed="rId11"/>
                    <a:srcRect l="24705" t="13412" r="11249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25FB6">
      <w:pPr>
        <w:spacing w:line="220" w:lineRule="atLeas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Figure S8.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 Spearman correlation between </w:t>
      </w:r>
      <w:bookmarkStart w:id="11" w:name="OLE_LINK45"/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air pollutants and meteorological conditions</w:t>
      </w:r>
      <w:bookmarkEnd w:id="11"/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 in Gansu Province from 2018 to 2022. RH, mean daily relative humidity; Tmean, mean daily temperature. * </w:t>
      </w:r>
      <w:r>
        <w:rPr>
          <w:rFonts w:hint="eastAsia" w:ascii="Times New Roman" w:hAnsi="Times New Roman" w:cs="Times New Roman"/>
          <w:i/>
          <w:iCs/>
          <w:kern w:val="2"/>
          <w:sz w:val="24"/>
          <w:szCs w:val="24"/>
          <w:lang w:val="en-US" w:eastAsia="zh-CN" w:bidi="ar-SA"/>
        </w:rPr>
        <w:t>P</w:t>
      </w:r>
      <w:r>
        <w:rPr>
          <w:rFonts w:hint="eastAsia" w:ascii="Times New Roman" w:hAnsi="Times New Roman" w:eastAsia="Times New Roman" w:cs="Times New Roman"/>
          <w:i w:val="0"/>
          <w:iCs w:val="0"/>
          <w:kern w:val="2"/>
          <w:sz w:val="24"/>
          <w:szCs w:val="24"/>
          <w:lang w:val="en-US" w:eastAsia="zh-CN" w:bidi="ar-SA"/>
        </w:rPr>
        <w:t xml:space="preserve"> &lt; </w:t>
      </w:r>
      <w:bookmarkStart w:id="12" w:name="_GoBack"/>
      <w:bookmarkEnd w:id="12"/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0.05.</w:t>
      </w:r>
    </w:p>
    <w:p w14:paraId="353E59F9">
      <w:pPr>
        <w:numPr>
          <w:ilvl w:val="0"/>
          <w:numId w:val="0"/>
        </w:numPr>
        <w:spacing w:before="120" w:after="12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wZGM0NjMwMGQxNDlkZDNkOTk1ZDI1ODI5MjZiM2UifQ=="/>
  </w:docVars>
  <w:rsids>
    <w:rsidRoot w:val="00172A27"/>
    <w:rsid w:val="01513D8A"/>
    <w:rsid w:val="02AE5506"/>
    <w:rsid w:val="02B1670F"/>
    <w:rsid w:val="03175001"/>
    <w:rsid w:val="03AE0AD1"/>
    <w:rsid w:val="040D7D24"/>
    <w:rsid w:val="04A75B9E"/>
    <w:rsid w:val="055727A7"/>
    <w:rsid w:val="057513FF"/>
    <w:rsid w:val="05EB61D1"/>
    <w:rsid w:val="072D5B5D"/>
    <w:rsid w:val="080469DF"/>
    <w:rsid w:val="098D4209"/>
    <w:rsid w:val="0BE05D38"/>
    <w:rsid w:val="0C8B0467"/>
    <w:rsid w:val="0DA9532B"/>
    <w:rsid w:val="0DFF67C5"/>
    <w:rsid w:val="0E060157"/>
    <w:rsid w:val="0FD26794"/>
    <w:rsid w:val="1045393E"/>
    <w:rsid w:val="10BF13A8"/>
    <w:rsid w:val="11431B8E"/>
    <w:rsid w:val="13066C62"/>
    <w:rsid w:val="14F6737F"/>
    <w:rsid w:val="151D3C8A"/>
    <w:rsid w:val="15713EB0"/>
    <w:rsid w:val="15F8315B"/>
    <w:rsid w:val="16811EB4"/>
    <w:rsid w:val="18881C14"/>
    <w:rsid w:val="19166910"/>
    <w:rsid w:val="19723213"/>
    <w:rsid w:val="1BDE3844"/>
    <w:rsid w:val="1CD236DC"/>
    <w:rsid w:val="1D6B2C82"/>
    <w:rsid w:val="1DB57CAC"/>
    <w:rsid w:val="1EB811C8"/>
    <w:rsid w:val="1F097945"/>
    <w:rsid w:val="20A069AD"/>
    <w:rsid w:val="217C01F5"/>
    <w:rsid w:val="23C07DCE"/>
    <w:rsid w:val="24806711"/>
    <w:rsid w:val="26335A6E"/>
    <w:rsid w:val="273B56E8"/>
    <w:rsid w:val="28B256F7"/>
    <w:rsid w:val="2BF80497"/>
    <w:rsid w:val="2BFF29C5"/>
    <w:rsid w:val="2D4A7790"/>
    <w:rsid w:val="2DAC25A2"/>
    <w:rsid w:val="2FA46F7B"/>
    <w:rsid w:val="301644EC"/>
    <w:rsid w:val="31F21E7C"/>
    <w:rsid w:val="341925C3"/>
    <w:rsid w:val="34281FE0"/>
    <w:rsid w:val="357D4B7F"/>
    <w:rsid w:val="371B46EF"/>
    <w:rsid w:val="372C5261"/>
    <w:rsid w:val="37A75AA2"/>
    <w:rsid w:val="37EA7ED2"/>
    <w:rsid w:val="39202A57"/>
    <w:rsid w:val="39615378"/>
    <w:rsid w:val="3968783F"/>
    <w:rsid w:val="3AAA7361"/>
    <w:rsid w:val="3C712621"/>
    <w:rsid w:val="3CEF20CB"/>
    <w:rsid w:val="3D540560"/>
    <w:rsid w:val="3E315E61"/>
    <w:rsid w:val="409150BE"/>
    <w:rsid w:val="417B56F7"/>
    <w:rsid w:val="41EA5ADC"/>
    <w:rsid w:val="43A21DBE"/>
    <w:rsid w:val="442268F6"/>
    <w:rsid w:val="47C90A34"/>
    <w:rsid w:val="480D232D"/>
    <w:rsid w:val="48FF1C22"/>
    <w:rsid w:val="4AC23EBB"/>
    <w:rsid w:val="4B363A7F"/>
    <w:rsid w:val="4CC27352"/>
    <w:rsid w:val="4E057EC2"/>
    <w:rsid w:val="4F8C730B"/>
    <w:rsid w:val="4F8D5B91"/>
    <w:rsid w:val="522C3C23"/>
    <w:rsid w:val="522D26C1"/>
    <w:rsid w:val="52523D14"/>
    <w:rsid w:val="52EF023A"/>
    <w:rsid w:val="534F2884"/>
    <w:rsid w:val="53AC0B52"/>
    <w:rsid w:val="53EC67C1"/>
    <w:rsid w:val="55083E3C"/>
    <w:rsid w:val="566501AD"/>
    <w:rsid w:val="56E504A0"/>
    <w:rsid w:val="56E7516A"/>
    <w:rsid w:val="56EE072F"/>
    <w:rsid w:val="572828FF"/>
    <w:rsid w:val="58451400"/>
    <w:rsid w:val="58D93AD7"/>
    <w:rsid w:val="5B9C3E98"/>
    <w:rsid w:val="5E142721"/>
    <w:rsid w:val="5F522D96"/>
    <w:rsid w:val="63A56251"/>
    <w:rsid w:val="647D2040"/>
    <w:rsid w:val="662948E8"/>
    <w:rsid w:val="673C2B37"/>
    <w:rsid w:val="675C7537"/>
    <w:rsid w:val="68FB53BF"/>
    <w:rsid w:val="690D6571"/>
    <w:rsid w:val="69E3207D"/>
    <w:rsid w:val="6BA865B8"/>
    <w:rsid w:val="6E395A3C"/>
    <w:rsid w:val="6E5B1343"/>
    <w:rsid w:val="6E714F9C"/>
    <w:rsid w:val="6EDB7C36"/>
    <w:rsid w:val="706350B9"/>
    <w:rsid w:val="72D94AA5"/>
    <w:rsid w:val="739959E0"/>
    <w:rsid w:val="741B5286"/>
    <w:rsid w:val="75CD2EE9"/>
    <w:rsid w:val="7642709D"/>
    <w:rsid w:val="76B51AF0"/>
    <w:rsid w:val="76F06B25"/>
    <w:rsid w:val="788E702B"/>
    <w:rsid w:val="78C565B0"/>
    <w:rsid w:val="78FB1AF4"/>
    <w:rsid w:val="79A2738E"/>
    <w:rsid w:val="79CF5DDB"/>
    <w:rsid w:val="7A252D0A"/>
    <w:rsid w:val="7A331F0E"/>
    <w:rsid w:val="7A5549F4"/>
    <w:rsid w:val="7B3A45FC"/>
    <w:rsid w:val="7CF90201"/>
    <w:rsid w:val="7D753307"/>
    <w:rsid w:val="7DD67994"/>
    <w:rsid w:val="7E4B4A8C"/>
    <w:rsid w:val="7F1653AE"/>
    <w:rsid w:val="7FD6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99" w:semiHidden="0" w:name="heading 1"/>
    <w:lsdException w:uiPriority="99" w:semiHidden="0" w:name="heading 2"/>
    <w:lsdException w:uiPriority="99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autoRedefine/>
    <w:unhideWhenUsed/>
    <w:qFormat/>
    <w:uiPriority w:val="99"/>
  </w:style>
  <w:style w:type="character" w:styleId="9">
    <w:name w:val="Hyperlink"/>
    <w:basedOn w:val="7"/>
    <w:autoRedefine/>
    <w:unhideWhenUsed/>
    <w:qFormat/>
    <w:uiPriority w:val="99"/>
    <w:rPr>
      <w:color w:val="0000FF"/>
      <w:u w:val="single"/>
    </w:rPr>
  </w:style>
  <w:style w:type="character" w:customStyle="1" w:styleId="10">
    <w:name w:val="font21"/>
    <w:basedOn w:val="7"/>
    <w:autoRedefine/>
    <w:qFormat/>
    <w:uiPriority w:val="0"/>
    <w:rPr>
      <w:rFonts w:hint="eastAsia" w:ascii="宋体" w:hAnsi="宋体" w:eastAsia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png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1316</Words>
  <Characters>5552</Characters>
  <Lines>0</Lines>
  <Paragraphs>0</Paragraphs>
  <TotalTime>11</TotalTime>
  <ScaleCrop>false</ScaleCrop>
  <LinksUpToDate>false</LinksUpToDate>
  <CharactersWithSpaces>6535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2024-04-25T02:47:00Z</dcterms:created>
  <dc:creator>ZhaoHao</dc:creator>
  <cp:lastModifiedBy>张莹</cp:lastModifiedBy>
  <dcterms:modified xsi:type="dcterms:W3CDTF">2025-10-29T03:08:41Z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BB0931C4517A4FCF989CEE1A53CFF12F_13</vt:lpwstr>
  </property>
  <property fmtid="{D5CDD505-2E9C-101B-9397-08002B2CF9AE}" pid="4" name="KSOTemplateDocerSaveRecord">
    <vt:lpwstr>eyJoZGlkIjoiOWI2NmM1ODc1MzE0YjRmOGI4MmY3MGQxNDBiOTFlNzQiLCJ1c2VySWQiOiI1MDkyMTYxNjIifQ==</vt:lpwstr>
  </property>
</Properties>
</file>